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24" w:rsidRDefault="00FF3D23" w:rsidP="002A3D24">
      <w:pPr>
        <w:spacing w:after="200" w:line="0" w:lineRule="auto"/>
        <w:jc w:val="center"/>
        <w:rPr>
          <w:rFonts w:ascii="Arial" w:eastAsiaTheme="majorEastAsia" w:hAnsi="Arial" w:cstheme="majorBidi"/>
          <w:b/>
          <w:bCs/>
          <w:caps/>
          <w:color w:val="00257A"/>
          <w:sz w:val="34"/>
          <w:szCs w:val="28"/>
        </w:rPr>
      </w:pPr>
      <w:bookmarkStart w:id="0" w:name="_GoBack"/>
      <w:bookmarkEnd w:id="0"/>
      <w:r>
        <w:rPr>
          <w:noProof/>
          <w:lang w:eastAsia="sv-SE"/>
        </w:rPr>
        <w:drawing>
          <wp:anchor distT="0" distB="0" distL="114300" distR="114300" simplePos="0" relativeHeight="251658240" behindDoc="0" locked="0" layoutInCell="1" allowOverlap="1" wp14:anchorId="1CB54B1C" wp14:editId="720F204D">
            <wp:simplePos x="0" y="0"/>
            <wp:positionH relativeFrom="page">
              <wp:posOffset>635</wp:posOffset>
            </wp:positionH>
            <wp:positionV relativeFrom="page">
              <wp:posOffset>14605</wp:posOffset>
            </wp:positionV>
            <wp:extent cx="7589520" cy="10734675"/>
            <wp:effectExtent l="0" t="0" r="5080" b="9525"/>
            <wp:wrapThrough wrapText="bothSides">
              <wp:wrapPolygon edited="0">
                <wp:start x="0" y="0"/>
                <wp:lineTo x="0" y="21568"/>
                <wp:lineTo x="21542" y="21568"/>
                <wp:lineTo x="2154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R_Framsida_Personuppgiftspolicy_1805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0" cy="10734675"/>
                    </a:xfrm>
                    <a:prstGeom prst="rect">
                      <a:avLst/>
                    </a:prstGeom>
                  </pic:spPr>
                </pic:pic>
              </a:graphicData>
            </a:graphic>
            <wp14:sizeRelH relativeFrom="margin">
              <wp14:pctWidth>0</wp14:pctWidth>
            </wp14:sizeRelH>
            <wp14:sizeRelV relativeFrom="margin">
              <wp14:pctHeight>0</wp14:pctHeight>
            </wp14:sizeRelV>
          </wp:anchor>
        </w:drawing>
      </w:r>
    </w:p>
    <w:p w:rsidR="007600F9" w:rsidRDefault="007600F9" w:rsidP="00FF3D23">
      <w:pPr>
        <w:pStyle w:val="Rubrik1"/>
        <w:jc w:val="center"/>
      </w:pPr>
      <w:r>
        <w:lastRenderedPageBreak/>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E82841">
        <w:t xml:space="preserve">HSB </w:t>
      </w:r>
      <w:r w:rsidR="00E82841" w:rsidRPr="00E82841">
        <w:t>BRF Ersåsberget</w:t>
      </w:r>
      <w:r>
        <w:t xml:space="preserve"> </w:t>
      </w:r>
      <w:r w:rsidR="00E82841">
        <w:t xml:space="preserve">i Göteborg </w:t>
      </w:r>
      <w:r w:rsidR="00E82841">
        <w:rPr>
          <w:rFonts w:ascii="Garamond" w:hAnsi="Garamond" w:cs="Garamond"/>
          <w:color w:val="000000"/>
          <w:sz w:val="24"/>
          <w:szCs w:val="24"/>
        </w:rPr>
        <w:t>716408-8283</w:t>
      </w:r>
      <w:r w:rsidR="00E82841">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 xml:space="preserve">fastighetsförvaltare, regional HSB-förening,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0A1D67" w:rsidRDefault="000A1D67" w:rsidP="00A43CFC">
      <w:pPr>
        <w:pStyle w:val="Brdtext"/>
      </w:pPr>
      <w:r>
        <w:t>Personuppgifter för bostadsrättsföreningens medlemmar behandlas för att uppfylla rättsliga skyldigheter, ingå eller fullgöra avtal med medlemmen eller med stöd utav en intresseavvägning.</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 xml:space="preserve">t.ex. 7 år (rörande bokföring, beskattning </w:t>
      </w:r>
      <w:proofErr w:type="spellStart"/>
      <w:r w:rsidR="000A1D67">
        <w:t>etc</w:t>
      </w:r>
      <w:proofErr w:type="spellEnd"/>
      <w:r w:rsidR="000A1D67">
        <w:t xml:space="preserve"> eller 10 år (viss preskription).</w:t>
      </w:r>
    </w:p>
    <w:p w:rsidR="007600F9" w:rsidRDefault="00D65296" w:rsidP="007600F9">
      <w:pPr>
        <w:pStyle w:val="Rubrik2"/>
        <w:tabs>
          <w:tab w:val="left" w:pos="851"/>
        </w:tabs>
      </w:pPr>
      <w:r>
        <w:t>2.</w:t>
      </w:r>
      <w:r w:rsidR="00124D39">
        <w:t>4</w:t>
      </w:r>
      <w:r>
        <w:t xml:space="preserve"> </w:t>
      </w:r>
      <w:r w:rsidR="00591FC3">
        <w:t>anställda</w:t>
      </w:r>
    </w:p>
    <w:p w:rsidR="007600F9" w:rsidRPr="007600F9" w:rsidRDefault="007600F9" w:rsidP="007600F9">
      <w:pPr>
        <w:pStyle w:val="Brdtext"/>
        <w:rPr>
          <w:i/>
        </w:rPr>
      </w:pPr>
      <w:r w:rsidRPr="007600F9">
        <w:rPr>
          <w:i/>
        </w:rPr>
        <w:t>Vilka personuppgifter behandlas och vem är mottagare?</w:t>
      </w:r>
    </w:p>
    <w:p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rsidR="007600F9" w:rsidRPr="007600F9" w:rsidRDefault="007600F9" w:rsidP="007600F9">
      <w:pPr>
        <w:pStyle w:val="Brdtext"/>
        <w:rPr>
          <w:i/>
        </w:rPr>
      </w:pPr>
      <w:r w:rsidRPr="007600F9">
        <w:rPr>
          <w:i/>
        </w:rPr>
        <w:t>Hur länge lagras 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w:t>
      </w:r>
      <w:proofErr w:type="gramStart"/>
      <w:r>
        <w:t>åligganden</w:t>
      </w:r>
      <w:proofErr w:type="gramEnd"/>
      <w:r>
        <w:t xml:space="preserve">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rsidR="007600F9" w:rsidRDefault="007600F9" w:rsidP="007600F9">
      <w:pPr>
        <w:pStyle w:val="Rubrik2"/>
        <w:tabs>
          <w:tab w:val="left" w:pos="851"/>
        </w:tabs>
      </w:pPr>
      <w:r>
        <w:t>2.</w:t>
      </w:r>
      <w:r w:rsidR="00124D39">
        <w:t>5</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 xml:space="preserve">i t.ex. 7 år (rörande bokföring, beskattning </w:t>
      </w:r>
      <w:proofErr w:type="spellStart"/>
      <w:r w:rsidR="000A1D67">
        <w:t>etc</w:t>
      </w:r>
      <w:proofErr w:type="spellEnd"/>
      <w:r w:rsidR="000A1D67">
        <w:t xml:space="preserve"> eller 10 år (viss preskription).</w:t>
      </w:r>
    </w:p>
    <w:p w:rsidR="007600F9" w:rsidRDefault="007600F9" w:rsidP="007600F9">
      <w:pPr>
        <w:pStyle w:val="Rubrik2"/>
        <w:tabs>
          <w:tab w:val="left" w:pos="851"/>
        </w:tabs>
      </w:pPr>
      <w:r>
        <w:t>2.</w:t>
      </w:r>
      <w:r w:rsidR="00124D39">
        <w:t>6</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w:t>
      </w:r>
      <w:proofErr w:type="gramStart"/>
      <w:r>
        <w:t>handhar</w:t>
      </w:r>
      <w:proofErr w:type="gramEnd"/>
      <w:r>
        <w:t xml:space="preserve">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w:t>
      </w:r>
      <w:proofErr w:type="gramStart"/>
      <w:r>
        <w:t>rekryteringsförfarande</w:t>
      </w:r>
      <w:proofErr w:type="gramEnd"/>
      <w:r>
        <w:t xml:space="preserve"> måste Bostadsrättsföreningen </w:t>
      </w:r>
      <w:r>
        <w:lastRenderedPageBreak/>
        <w:t xml:space="preserve">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124D39">
        <w:t>7</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r w:rsidR="00FF3D23">
        <w:t xml:space="preserve"> För kundkännedom kan även uppgifter om närstående behandlas.</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r w:rsidR="00FF3D23">
        <w:t xml:space="preserve"> samt kundkännedom</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proofErr w:type="spellStart"/>
      <w:r>
        <w:t>Föreoendevaldas</w:t>
      </w:r>
      <w:proofErr w:type="spellEnd"/>
      <w:r>
        <w:t xml:space="preserve">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53D27" w:rsidRDefault="00902DE2" w:rsidP="000A1D67">
      <w:pPr>
        <w:pStyle w:val="Rubrik2"/>
        <w:tabs>
          <w:tab w:val="left" w:pos="851"/>
        </w:tabs>
      </w:pPr>
      <w:r w:rsidRPr="00253D27">
        <w:rPr>
          <w:rFonts w:ascii="Times New Roman" w:eastAsiaTheme="minorHAnsi" w:hAnsi="Times New Roman" w:cstheme="minorBidi"/>
          <w:b w:val="0"/>
          <w:bCs w:val="0"/>
          <w:caps w:val="0"/>
          <w:color w:val="auto"/>
          <w:sz w:val="22"/>
          <w:szCs w:val="22"/>
        </w:rPr>
        <w:lastRenderedPageBreak/>
        <w:t xml:space="preserve">Från detta finns dock viktiga undantag. För att uppfylla sina åtaganden enligt lag behöver </w:t>
      </w:r>
      <w:r w:rsidR="001743CC" w:rsidRPr="00253D27">
        <w:rPr>
          <w:rFonts w:ascii="Times New Roman" w:eastAsiaTheme="minorHAnsi" w:hAnsi="Times New Roman" w:cstheme="minorBidi"/>
          <w:b w:val="0"/>
          <w:bCs w:val="0"/>
          <w:caps w:val="0"/>
          <w:color w:val="auto"/>
          <w:sz w:val="22"/>
          <w:szCs w:val="22"/>
        </w:rPr>
        <w:t>Bostadsrättsföreningen</w:t>
      </w:r>
      <w:r w:rsidRPr="00253D27">
        <w:rPr>
          <w:rFonts w:ascii="Times New Roman" w:eastAsiaTheme="minorHAnsi" w:hAnsi="Times New Roman" w:cstheme="minorBidi"/>
          <w:b w:val="0"/>
          <w:bCs w:val="0"/>
          <w:caps w:val="0"/>
          <w:color w:val="auto"/>
          <w:sz w:val="22"/>
          <w:szCs w:val="22"/>
        </w:rP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rsidRPr="00253D27">
        <w:rPr>
          <w:rFonts w:ascii="Times New Roman" w:eastAsiaTheme="minorHAnsi" w:hAnsi="Times New Roman" w:cstheme="minorBidi"/>
          <w:b w:val="0"/>
          <w:bCs w:val="0"/>
          <w:caps w:val="0"/>
          <w:color w:val="auto"/>
          <w:sz w:val="22"/>
          <w:szCs w:val="22"/>
        </w:rPr>
        <w:t xml:space="preserve">t.ex. 7 år (rörande bokföring, beskattning </w:t>
      </w:r>
      <w:proofErr w:type="spellStart"/>
      <w:r w:rsidR="000A1D67" w:rsidRPr="00253D27">
        <w:rPr>
          <w:rFonts w:ascii="Times New Roman" w:eastAsiaTheme="minorHAnsi" w:hAnsi="Times New Roman" w:cstheme="minorBidi"/>
          <w:b w:val="0"/>
          <w:bCs w:val="0"/>
          <w:caps w:val="0"/>
          <w:color w:val="auto"/>
          <w:sz w:val="22"/>
          <w:szCs w:val="22"/>
        </w:rPr>
        <w:t>etc</w:t>
      </w:r>
      <w:proofErr w:type="spellEnd"/>
      <w:r w:rsidR="000A1D67" w:rsidRPr="00253D27">
        <w:rPr>
          <w:rFonts w:ascii="Times New Roman" w:eastAsiaTheme="minorHAnsi" w:hAnsi="Times New Roman" w:cstheme="minorBidi"/>
          <w:b w:val="0"/>
          <w:bCs w:val="0"/>
          <w:caps w:val="0"/>
          <w:color w:val="auto"/>
          <w:sz w:val="22"/>
          <w:szCs w:val="22"/>
        </w:rPr>
        <w:t xml:space="preserve"> eller 10 år (viss preskription)</w:t>
      </w:r>
      <w:r w:rsidR="006F5A8D">
        <w:rPr>
          <w:rFonts w:ascii="Times New Roman" w:eastAsiaTheme="minorHAnsi" w:hAnsi="Times New Roman" w:cstheme="minorBidi"/>
          <w:b w:val="0"/>
          <w:bCs w:val="0"/>
          <w:caps w:val="0"/>
          <w:color w:val="auto"/>
          <w:sz w:val="22"/>
          <w:szCs w:val="22"/>
        </w:rPr>
        <w:t>.</w:t>
      </w:r>
    </w:p>
    <w:p w:rsidR="007600F9" w:rsidRDefault="007600F9" w:rsidP="000A1D67">
      <w:pPr>
        <w:pStyle w:val="Rubrik2"/>
        <w:tabs>
          <w:tab w:val="left" w:pos="851"/>
        </w:tabs>
      </w:pPr>
      <w:r>
        <w:t>2.</w:t>
      </w:r>
      <w:r w:rsidR="00124D39">
        <w:t>8</w:t>
      </w:r>
      <w:r>
        <w:tab/>
      </w:r>
      <w:r w:rsidR="00902DE2">
        <w:t xml:space="preserve">Kunder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lastRenderedPageBreak/>
        <w:t>2.</w:t>
      </w:r>
      <w:r w:rsidR="00124D39">
        <w:t>9</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w:t>
      </w:r>
      <w:r>
        <w:lastRenderedPageBreak/>
        <w:t xml:space="preserve">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lastRenderedPageBreak/>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lastRenderedPageBreak/>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9"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E82841" w:rsidRPr="00E82841" w:rsidRDefault="00E82841" w:rsidP="00E82841">
      <w:pPr>
        <w:pStyle w:val="Brdtext"/>
      </w:pPr>
      <w:r w:rsidRPr="00E82841">
        <w:t>Namn: Joakim Hallberg (Sekreterare)</w:t>
      </w:r>
    </w:p>
    <w:p w:rsidR="00E82841" w:rsidRPr="00E82841" w:rsidRDefault="00E82841" w:rsidP="00E82841">
      <w:pPr>
        <w:pStyle w:val="Brdtext"/>
      </w:pPr>
      <w:r w:rsidRPr="00E82841">
        <w:t>Telefonnummer: 0703</w:t>
      </w:r>
      <w:r>
        <w:t>-</w:t>
      </w:r>
      <w:r w:rsidRPr="00E82841">
        <w:t>76 23 16</w:t>
      </w:r>
    </w:p>
    <w:p w:rsidR="00E82841" w:rsidRDefault="00E82841" w:rsidP="00E82841">
      <w:pPr>
        <w:pStyle w:val="Brdtext"/>
      </w:pPr>
      <w:r w:rsidRPr="00E82841">
        <w:t xml:space="preserve">E-postadress: </w:t>
      </w:r>
      <w:hyperlink r:id="rId10" w:history="1">
        <w:r w:rsidRPr="00AE3A05">
          <w:rPr>
            <w:rStyle w:val="Hyperlnk"/>
          </w:rPr>
          <w:t>joakim.hallberg69@gmail.com</w:t>
        </w:r>
      </w:hyperlink>
    </w:p>
    <w:p w:rsidR="00E82841" w:rsidRPr="00E82841" w:rsidRDefault="00E82841" w:rsidP="00E82841">
      <w:pPr>
        <w:pStyle w:val="Brdtext"/>
      </w:pPr>
    </w:p>
    <w:p w:rsidR="007600F9" w:rsidRPr="00E82841" w:rsidRDefault="007600F9" w:rsidP="00A128B1">
      <w:pPr>
        <w:pStyle w:val="Brdtext"/>
      </w:pPr>
      <w:r w:rsidRPr="00E82841">
        <w:t xml:space="preserve">Namn: </w:t>
      </w:r>
      <w:r w:rsidR="00E82841" w:rsidRPr="00E82841">
        <w:t>Jan Gustafsson (Ordförande)</w:t>
      </w:r>
    </w:p>
    <w:p w:rsidR="007600F9" w:rsidRPr="00E82841" w:rsidRDefault="007600F9" w:rsidP="00A128B1">
      <w:pPr>
        <w:pStyle w:val="Brdtext"/>
      </w:pPr>
      <w:r w:rsidRPr="00E82841">
        <w:t>Telefonnummer:</w:t>
      </w:r>
      <w:r w:rsidR="00E82841" w:rsidRPr="00E82841">
        <w:t xml:space="preserve"> 072</w:t>
      </w:r>
      <w:r w:rsidR="00E82841">
        <w:t>3</w:t>
      </w:r>
      <w:r w:rsidR="00E82841" w:rsidRPr="00E82841">
        <w:t>-29 35 85</w:t>
      </w:r>
    </w:p>
    <w:p w:rsidR="007600F9" w:rsidRDefault="007600F9" w:rsidP="00A128B1">
      <w:pPr>
        <w:pStyle w:val="Brdtext"/>
      </w:pPr>
      <w:r w:rsidRPr="00E82841">
        <w:t>E-postadress:</w:t>
      </w:r>
      <w:r w:rsidR="00E82841" w:rsidRPr="00E82841">
        <w:t xml:space="preserve"> </w:t>
      </w:r>
      <w:hyperlink r:id="rId11" w:history="1">
        <w:r w:rsidR="00E82841" w:rsidRPr="00AE3A05">
          <w:rPr>
            <w:rStyle w:val="Hyperlnk"/>
          </w:rPr>
          <w:t>jan.gustafsson77@comhem.se</w:t>
        </w:r>
      </w:hyperlink>
    </w:p>
    <w:p w:rsidR="00E82841" w:rsidRDefault="00E82841" w:rsidP="00A128B1">
      <w:pPr>
        <w:pStyle w:val="Brdtext"/>
      </w:pPr>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868" w:rsidRDefault="00594868" w:rsidP="00216B9D">
      <w:r>
        <w:separator/>
      </w:r>
    </w:p>
  </w:endnote>
  <w:endnote w:type="continuationSeparator" w:id="0">
    <w:p w:rsidR="00594868" w:rsidRDefault="0059486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868" w:rsidRDefault="00594868" w:rsidP="00216B9D">
      <w:r>
        <w:separator/>
      </w:r>
    </w:p>
  </w:footnote>
  <w:footnote w:type="continuationSeparator" w:id="0">
    <w:p w:rsidR="00594868" w:rsidRDefault="00594868"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6E5E37">
            <w:rPr>
              <w:rStyle w:val="Sidnummer"/>
              <w:noProof/>
            </w:rPr>
            <w:t>12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6E5E37">
            <w:rPr>
              <w:rStyle w:val="Sidnummer"/>
              <w:noProof/>
            </w:rPr>
            <w:t>12</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p>
      </w:tc>
      <w:bookmarkStart w:id="6"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6E5E37">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6E5E37">
            <w:rPr>
              <w:rStyle w:val="Sidnummer"/>
              <w:noProof/>
            </w:rPr>
            <w:t>12</w:t>
          </w:r>
          <w:r w:rsidRPr="00646ED4">
            <w:rPr>
              <w:rStyle w:val="Sidnummer"/>
              <w:noProof/>
            </w:rPr>
            <w:fldChar w:fldCharType="end"/>
          </w:r>
          <w:r w:rsidRPr="00646ED4">
            <w:rPr>
              <w:rStyle w:val="Sidnummer"/>
            </w:rPr>
            <w:t>)</w:t>
          </w:r>
          <w:bookmarkStart w:id="7" w:name="bmSidnrFirstTrue"/>
          <w:bookmarkEnd w:id="6"/>
          <w:bookmarkEnd w:id="7"/>
        </w:p>
      </w:tc>
    </w:tr>
  </w:tbl>
  <w:p w:rsidR="00B00F89" w:rsidRPr="00F25823" w:rsidRDefault="00B00F89"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3D27"/>
    <w:rsid w:val="00256F0B"/>
    <w:rsid w:val="00263102"/>
    <w:rsid w:val="0026519C"/>
    <w:rsid w:val="002701E9"/>
    <w:rsid w:val="0027651D"/>
    <w:rsid w:val="00276838"/>
    <w:rsid w:val="002854B8"/>
    <w:rsid w:val="00287214"/>
    <w:rsid w:val="002911A1"/>
    <w:rsid w:val="002A3D24"/>
    <w:rsid w:val="002B2358"/>
    <w:rsid w:val="002B2DD8"/>
    <w:rsid w:val="002B48BF"/>
    <w:rsid w:val="002B54ED"/>
    <w:rsid w:val="002B5744"/>
    <w:rsid w:val="002C7230"/>
    <w:rsid w:val="002D2E87"/>
    <w:rsid w:val="002D7C36"/>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08B8"/>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24D65"/>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1EB6"/>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5ED"/>
    <w:rsid w:val="00552C8D"/>
    <w:rsid w:val="00562131"/>
    <w:rsid w:val="00576C35"/>
    <w:rsid w:val="00577889"/>
    <w:rsid w:val="0058450C"/>
    <w:rsid w:val="00591FC3"/>
    <w:rsid w:val="00594868"/>
    <w:rsid w:val="0059542D"/>
    <w:rsid w:val="00595E51"/>
    <w:rsid w:val="005B1EFF"/>
    <w:rsid w:val="005B4CEB"/>
    <w:rsid w:val="005C1D34"/>
    <w:rsid w:val="005C65EB"/>
    <w:rsid w:val="005D6E37"/>
    <w:rsid w:val="005E0A48"/>
    <w:rsid w:val="005E1372"/>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B6FD6"/>
    <w:rsid w:val="006C00E5"/>
    <w:rsid w:val="006D338C"/>
    <w:rsid w:val="006D4F71"/>
    <w:rsid w:val="006D50B7"/>
    <w:rsid w:val="006D51B7"/>
    <w:rsid w:val="006E5E37"/>
    <w:rsid w:val="006E670B"/>
    <w:rsid w:val="006F5A8D"/>
    <w:rsid w:val="006F6A23"/>
    <w:rsid w:val="00706EB2"/>
    <w:rsid w:val="00712C97"/>
    <w:rsid w:val="00735EA0"/>
    <w:rsid w:val="00736D7B"/>
    <w:rsid w:val="00751EE7"/>
    <w:rsid w:val="007600F9"/>
    <w:rsid w:val="00765318"/>
    <w:rsid w:val="007669D2"/>
    <w:rsid w:val="0076761A"/>
    <w:rsid w:val="0077559A"/>
    <w:rsid w:val="00776F11"/>
    <w:rsid w:val="00783A14"/>
    <w:rsid w:val="00791865"/>
    <w:rsid w:val="00791AAF"/>
    <w:rsid w:val="007A0115"/>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37ED"/>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02067"/>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2841"/>
    <w:rsid w:val="00E83DD7"/>
    <w:rsid w:val="00E90BDA"/>
    <w:rsid w:val="00E917EC"/>
    <w:rsid w:val="00E9189A"/>
    <w:rsid w:val="00E97495"/>
    <w:rsid w:val="00EA3F03"/>
    <w:rsid w:val="00EB73AE"/>
    <w:rsid w:val="00EB7B83"/>
    <w:rsid w:val="00EB7FA4"/>
    <w:rsid w:val="00EC58B7"/>
    <w:rsid w:val="00ED0B58"/>
    <w:rsid w:val="00ED1C4D"/>
    <w:rsid w:val="00ED443F"/>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1C6E"/>
    <w:rsid w:val="00FC499A"/>
    <w:rsid w:val="00FC5BAC"/>
    <w:rsid w:val="00FC5EF7"/>
    <w:rsid w:val="00FC7D68"/>
    <w:rsid w:val="00FD6FAA"/>
    <w:rsid w:val="00FF04E6"/>
    <w:rsid w:val="00FF3D23"/>
    <w:rsid w:val="00FF76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n.gustafsson77@comhem.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akim.hallberg69@gmail.com" TargetMode="External"/><Relationship Id="rId4" Type="http://schemas.openxmlformats.org/officeDocument/2006/relationships/settings" Target="settings.xml"/><Relationship Id="rId9" Type="http://schemas.openxmlformats.org/officeDocument/2006/relationships/hyperlink" Target="mailto:datainspektionen@datainspektione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0</TotalTime>
  <Pages>12</Pages>
  <Words>4686</Words>
  <Characters>24837</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Joakim</cp:lastModifiedBy>
  <cp:revision>2</cp:revision>
  <cp:lastPrinted>2011-02-08T13:12:00Z</cp:lastPrinted>
  <dcterms:created xsi:type="dcterms:W3CDTF">2018-11-04T14:44:00Z</dcterms:created>
  <dcterms:modified xsi:type="dcterms:W3CDTF">2018-11-04T14:44:00Z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