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0F0A6416"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1E5522">
              <w:rPr>
                <w:noProof/>
                <w:lang w:val="sv-SE"/>
              </w:rPr>
              <w:t>Maj</w:t>
            </w:r>
            <w:r w:rsidR="00686AA7">
              <w:rPr>
                <w:noProof/>
                <w:lang w:val="sv-SE"/>
              </w:rPr>
              <w:t xml:space="preserve"> 2024</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590E6E61"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B75AA1"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5EC59D0C">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123441A5" w:rsidR="006D7967" w:rsidRPr="007960F7" w:rsidRDefault="00267AA5" w:rsidP="009B4B0A">
                            <w:pPr>
                              <w:pStyle w:val="Foto"/>
                              <w:rPr>
                                <w:lang w:val="sv-SE"/>
                              </w:rPr>
                            </w:pPr>
                            <w:r w:rsidRPr="00A5384D">
                              <w:rPr>
                                <w:noProof/>
                                <w:lang w:val="sv-SE"/>
                              </w:rPr>
                              <w:t xml:space="preserve">  </w:t>
                            </w:r>
                            <w:r w:rsidR="007D035D">
                              <w:rPr>
                                <w:noProof/>
                              </w:rPr>
                              <w:drawing>
                                <wp:inline distT="0" distB="0" distL="0" distR="0" wp14:anchorId="79C71A73" wp14:editId="35ED4788">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B75AA1"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60CF79D9" w14:textId="60312446" w:rsidR="00551F7D" w:rsidRDefault="00551F7D" w:rsidP="00686AA7">
                                  <w:pPr>
                                    <w:jc w:val="center"/>
                                    <w:rPr>
                                      <w:rFonts w:asciiTheme="majorHAnsi" w:eastAsiaTheme="majorEastAsia" w:hAnsiTheme="majorHAnsi" w:cstheme="majorBidi"/>
                                      <w:sz w:val="22"/>
                                      <w:szCs w:val="22"/>
                                      <w:lang w:val="sv-SE"/>
                                    </w:rPr>
                                  </w:pPr>
                                  <w:r w:rsidRPr="00551F7D">
                                    <w:rPr>
                                      <w:rFonts w:asciiTheme="majorHAnsi" w:eastAsiaTheme="majorEastAsia" w:hAnsiTheme="majorHAnsi" w:cstheme="majorBidi"/>
                                      <w:sz w:val="22"/>
                                      <w:szCs w:val="22"/>
                                      <w:lang w:val="sv-SE"/>
                                    </w:rPr>
                                    <w:t>Föreningsstämma – tisdag 25 juni</w:t>
                                  </w:r>
                                  <w:r w:rsidR="007307D6">
                                    <w:rPr>
                                      <w:rFonts w:asciiTheme="majorHAnsi" w:eastAsiaTheme="majorEastAsia" w:hAnsiTheme="majorHAnsi" w:cstheme="majorBidi"/>
                                      <w:sz w:val="22"/>
                                      <w:szCs w:val="22"/>
                                      <w:lang w:val="sv-SE"/>
                                    </w:rPr>
                                    <w:t xml:space="preserve"> kl.18.00</w:t>
                                  </w:r>
                                </w:p>
                                <w:p w14:paraId="71BE66D2" w14:textId="77777777" w:rsidR="00732964" w:rsidRDefault="00732964" w:rsidP="00686AA7">
                                  <w:pPr>
                                    <w:jc w:val="center"/>
                                    <w:rPr>
                                      <w:rFonts w:asciiTheme="majorHAnsi" w:eastAsiaTheme="majorEastAsia" w:hAnsiTheme="majorHAnsi" w:cstheme="majorBidi"/>
                                      <w:sz w:val="22"/>
                                      <w:szCs w:val="22"/>
                                      <w:lang w:val="sv-SE"/>
                                    </w:rPr>
                                  </w:pPr>
                                </w:p>
                                <w:p w14:paraId="0C6AD264" w14:textId="32197E84" w:rsidR="00732964" w:rsidRDefault="00732964" w:rsidP="00686A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Välkomstbroschyr - Styrelsen håller på att ta fram en välkomstbroschyr för nya medlemmar. När den är klar kommer broschyren även att delas ut till samtliga medlemmar då den innehåller bra information om vårt boende i Brf Åkern.</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123441A5" w:rsidR="006D7967" w:rsidRPr="007960F7" w:rsidRDefault="00267AA5" w:rsidP="009B4B0A">
                      <w:pPr>
                        <w:pStyle w:val="Foto"/>
                        <w:rPr>
                          <w:lang w:val="sv-SE"/>
                        </w:rPr>
                      </w:pPr>
                      <w:r w:rsidRPr="00A5384D">
                        <w:rPr>
                          <w:noProof/>
                          <w:lang w:val="sv-SE"/>
                        </w:rPr>
                        <w:t xml:space="preserve">  </w:t>
                      </w:r>
                      <w:r w:rsidR="007D035D">
                        <w:rPr>
                          <w:noProof/>
                        </w:rPr>
                        <w:drawing>
                          <wp:inline distT="0" distB="0" distL="0" distR="0" wp14:anchorId="79C71A73" wp14:editId="35ED4788">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B75AA1"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60CF79D9" w14:textId="60312446" w:rsidR="00551F7D" w:rsidRDefault="00551F7D" w:rsidP="00686AA7">
                            <w:pPr>
                              <w:jc w:val="center"/>
                              <w:rPr>
                                <w:rFonts w:asciiTheme="majorHAnsi" w:eastAsiaTheme="majorEastAsia" w:hAnsiTheme="majorHAnsi" w:cstheme="majorBidi"/>
                                <w:sz w:val="22"/>
                                <w:szCs w:val="22"/>
                                <w:lang w:val="sv-SE"/>
                              </w:rPr>
                            </w:pPr>
                            <w:r w:rsidRPr="00551F7D">
                              <w:rPr>
                                <w:rFonts w:asciiTheme="majorHAnsi" w:eastAsiaTheme="majorEastAsia" w:hAnsiTheme="majorHAnsi" w:cstheme="majorBidi"/>
                                <w:sz w:val="22"/>
                                <w:szCs w:val="22"/>
                                <w:lang w:val="sv-SE"/>
                              </w:rPr>
                              <w:t>Föreningsstämma – tisdag 25 juni</w:t>
                            </w:r>
                            <w:r w:rsidR="007307D6">
                              <w:rPr>
                                <w:rFonts w:asciiTheme="majorHAnsi" w:eastAsiaTheme="majorEastAsia" w:hAnsiTheme="majorHAnsi" w:cstheme="majorBidi"/>
                                <w:sz w:val="22"/>
                                <w:szCs w:val="22"/>
                                <w:lang w:val="sv-SE"/>
                              </w:rPr>
                              <w:t xml:space="preserve"> kl.18.00</w:t>
                            </w:r>
                          </w:p>
                          <w:p w14:paraId="71BE66D2" w14:textId="77777777" w:rsidR="00732964" w:rsidRDefault="00732964" w:rsidP="00686AA7">
                            <w:pPr>
                              <w:jc w:val="center"/>
                              <w:rPr>
                                <w:rFonts w:asciiTheme="majorHAnsi" w:eastAsiaTheme="majorEastAsia" w:hAnsiTheme="majorHAnsi" w:cstheme="majorBidi"/>
                                <w:sz w:val="22"/>
                                <w:szCs w:val="22"/>
                                <w:lang w:val="sv-SE"/>
                              </w:rPr>
                            </w:pPr>
                          </w:p>
                          <w:p w14:paraId="0C6AD264" w14:textId="32197E84" w:rsidR="00732964" w:rsidRDefault="00732964" w:rsidP="00686A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Välkomstbroschyr - Styrelsen håller på att ta fram en välkomstbroschyr för nya medlemmar. När den är klar kommer broschyren även att delas ut till samtliga medlemmar då den innehåller bra information om vårt boende i Brf Åkern.</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709959DB" w:rsidR="00AE268F" w:rsidRPr="00E244A4" w:rsidRDefault="00AE268F" w:rsidP="00551F7D">
      <w:pPr>
        <w:rPr>
          <w:rFonts w:ascii="Century Gothic" w:hAnsi="Century Gothic"/>
          <w:b/>
          <w:bCs/>
          <w:noProof/>
          <w:color w:val="956AAC"/>
          <w:sz w:val="22"/>
          <w:szCs w:val="22"/>
          <w:lang w:val="sv-SE"/>
        </w:rPr>
      </w:pPr>
    </w:p>
    <w:p w14:paraId="6BEC4210" w14:textId="77777777" w:rsidR="003C5E7B" w:rsidRDefault="003C5E7B" w:rsidP="00551F7D">
      <w:pPr>
        <w:rPr>
          <w:b/>
          <w:bCs/>
          <w:sz w:val="28"/>
          <w:szCs w:val="28"/>
          <w:lang w:val="sv-SE"/>
        </w:rPr>
      </w:pPr>
      <w:r>
        <w:rPr>
          <w:b/>
          <w:bCs/>
          <w:sz w:val="28"/>
          <w:szCs w:val="28"/>
          <w:lang w:val="sv-SE"/>
        </w:rPr>
        <w:t>Föreningens skadedjursförsäkring</w:t>
      </w:r>
    </w:p>
    <w:p w14:paraId="3F78E9C2" w14:textId="77777777" w:rsidR="003C5E7B" w:rsidRDefault="003C5E7B" w:rsidP="00551F7D">
      <w:pPr>
        <w:rPr>
          <w:sz w:val="22"/>
          <w:szCs w:val="22"/>
          <w:lang w:val="sv-SE"/>
        </w:rPr>
      </w:pPr>
      <w:r>
        <w:rPr>
          <w:sz w:val="22"/>
          <w:szCs w:val="22"/>
          <w:lang w:val="sv-SE"/>
        </w:rPr>
        <w:t>Under våren och sommaren är det inte ovanligt att lägenheter drabbas av skadedjur som t.ex. myror eller getingar. Övrig tid under året kan det även förekomma råttor och möss.</w:t>
      </w:r>
    </w:p>
    <w:p w14:paraId="34D20275" w14:textId="77777777" w:rsidR="003C5E7B" w:rsidRDefault="003C5E7B" w:rsidP="00551F7D">
      <w:pPr>
        <w:rPr>
          <w:sz w:val="22"/>
          <w:szCs w:val="22"/>
          <w:lang w:val="sv-SE"/>
        </w:rPr>
      </w:pPr>
      <w:r>
        <w:rPr>
          <w:sz w:val="22"/>
          <w:szCs w:val="22"/>
          <w:lang w:val="sv-SE"/>
        </w:rPr>
        <w:t>Föreningen har en skadedjursförsäkring hos Nomor dit du som medlem kan vända dig utan att behöva kontakta styrelsen först. Du uppger att du bor i Brf Åkern i Timrå och att det ingår i föreningens försäkring.</w:t>
      </w:r>
    </w:p>
    <w:p w14:paraId="227C89B5" w14:textId="2CA7F75F" w:rsidR="00551F7D" w:rsidRDefault="003C5E7B" w:rsidP="00551F7D">
      <w:pPr>
        <w:rPr>
          <w:b/>
          <w:bCs/>
          <w:sz w:val="28"/>
          <w:szCs w:val="28"/>
          <w:lang w:val="sv-SE"/>
        </w:rPr>
      </w:pPr>
      <w:r>
        <w:rPr>
          <w:sz w:val="22"/>
          <w:szCs w:val="22"/>
          <w:lang w:val="sv-SE"/>
        </w:rPr>
        <w:t>Telefonnummer till Nomor: 0771-122 300</w:t>
      </w:r>
      <w:r w:rsidR="00551F7D">
        <w:rPr>
          <w:b/>
          <w:bCs/>
          <w:sz w:val="28"/>
          <w:szCs w:val="28"/>
          <w:lang w:val="sv-SE"/>
        </w:rPr>
        <w:t xml:space="preserve"> </w:t>
      </w:r>
    </w:p>
    <w:p w14:paraId="5AAFA9FB" w14:textId="1D8B0846" w:rsidR="004F568E" w:rsidRDefault="004F568E" w:rsidP="004F568E">
      <w:pPr>
        <w:rPr>
          <w:b/>
          <w:bCs/>
          <w:sz w:val="28"/>
          <w:szCs w:val="28"/>
          <w:lang w:val="sv-SE"/>
        </w:rPr>
      </w:pPr>
      <w:r>
        <w:rPr>
          <w:b/>
          <w:bCs/>
          <w:sz w:val="28"/>
          <w:szCs w:val="28"/>
          <w:lang w:val="sv-SE"/>
        </w:rPr>
        <w:br/>
        <w:t>Information om laddbilar</w:t>
      </w:r>
    </w:p>
    <w:p w14:paraId="33F560A2" w14:textId="4B367A45" w:rsidR="004F568E" w:rsidRDefault="004F568E" w:rsidP="004F568E">
      <w:pPr>
        <w:rPr>
          <w:sz w:val="22"/>
          <w:szCs w:val="22"/>
          <w:lang w:val="sv-SE"/>
        </w:rPr>
      </w:pPr>
      <w:r>
        <w:rPr>
          <w:sz w:val="22"/>
          <w:szCs w:val="22"/>
          <w:lang w:val="sv-SE"/>
        </w:rPr>
        <w:t>Medlemmar som har elbilar eller laddhybrider kommer fr.o.m. maj månad att få betala 3 kr kWh för att ladda sina bilar. Den tidigare fasta avgiften på 150 kr/månad kommer i och med det att tas bort.</w:t>
      </w:r>
    </w:p>
    <w:p w14:paraId="463FBE84" w14:textId="77777777" w:rsidR="00F476B1" w:rsidRDefault="00F476B1" w:rsidP="004F568E">
      <w:pPr>
        <w:rPr>
          <w:b/>
          <w:bCs/>
          <w:sz w:val="28"/>
          <w:szCs w:val="28"/>
          <w:lang w:val="sv-SE"/>
        </w:rPr>
      </w:pPr>
    </w:p>
    <w:p w14:paraId="14EB3C72" w14:textId="7FC96DE1" w:rsidR="007B1015" w:rsidRDefault="00F476B1" w:rsidP="00033CFD">
      <w:pPr>
        <w:rPr>
          <w:b/>
          <w:bCs/>
          <w:sz w:val="28"/>
          <w:szCs w:val="28"/>
          <w:lang w:val="sv-SE"/>
        </w:rPr>
      </w:pPr>
      <w:r>
        <w:rPr>
          <w:b/>
          <w:bCs/>
          <w:sz w:val="28"/>
          <w:szCs w:val="28"/>
          <w:lang w:val="sv-SE"/>
        </w:rPr>
        <w:lastRenderedPageBreak/>
        <w:br/>
      </w:r>
      <w:r w:rsidR="000D239C">
        <w:rPr>
          <w:b/>
          <w:bCs/>
          <w:sz w:val="28"/>
          <w:szCs w:val="28"/>
          <w:lang w:val="sv-SE"/>
        </w:rPr>
        <w:t xml:space="preserve">Hantverkare måste få </w:t>
      </w:r>
      <w:r w:rsidR="00E87B6E">
        <w:rPr>
          <w:b/>
          <w:bCs/>
          <w:sz w:val="28"/>
          <w:szCs w:val="28"/>
          <w:lang w:val="sv-SE"/>
        </w:rPr>
        <w:t>tillträde</w:t>
      </w:r>
      <w:r w:rsidR="000D239C">
        <w:rPr>
          <w:b/>
          <w:bCs/>
          <w:sz w:val="28"/>
          <w:szCs w:val="28"/>
          <w:lang w:val="sv-SE"/>
        </w:rPr>
        <w:t xml:space="preserve"> till lägenheterna</w:t>
      </w:r>
    </w:p>
    <w:p w14:paraId="34AF7502" w14:textId="492EEB35" w:rsidR="000D239C" w:rsidRDefault="000D239C" w:rsidP="00033CFD">
      <w:pPr>
        <w:rPr>
          <w:sz w:val="22"/>
          <w:szCs w:val="22"/>
          <w:lang w:val="sv-SE"/>
        </w:rPr>
      </w:pPr>
      <w:r>
        <w:rPr>
          <w:sz w:val="22"/>
          <w:szCs w:val="22"/>
          <w:lang w:val="sv-SE"/>
        </w:rPr>
        <w:t xml:space="preserve">När föreningen utför fastighetsunderhåll som innebär åtgärder inne i lägenheterna är det ett </w:t>
      </w:r>
      <w:r w:rsidRPr="000D239C">
        <w:rPr>
          <w:b/>
          <w:bCs/>
          <w:sz w:val="22"/>
          <w:szCs w:val="22"/>
          <w:lang w:val="sv-SE"/>
        </w:rPr>
        <w:t>krav</w:t>
      </w:r>
      <w:r>
        <w:rPr>
          <w:sz w:val="22"/>
          <w:szCs w:val="22"/>
          <w:lang w:val="sv-SE"/>
        </w:rPr>
        <w:t xml:space="preserve"> </w:t>
      </w:r>
      <w:r w:rsidR="00791A5D">
        <w:rPr>
          <w:sz w:val="22"/>
          <w:szCs w:val="22"/>
          <w:lang w:val="sv-SE"/>
        </w:rPr>
        <w:t xml:space="preserve">från styrelsen </w:t>
      </w:r>
      <w:r>
        <w:rPr>
          <w:sz w:val="22"/>
          <w:szCs w:val="22"/>
          <w:lang w:val="sv-SE"/>
        </w:rPr>
        <w:t xml:space="preserve">att hantverkarna </w:t>
      </w:r>
      <w:r w:rsidRPr="000D239C">
        <w:rPr>
          <w:b/>
          <w:bCs/>
          <w:sz w:val="22"/>
          <w:szCs w:val="22"/>
          <w:lang w:val="sv-SE"/>
        </w:rPr>
        <w:t xml:space="preserve">måste få </w:t>
      </w:r>
      <w:r w:rsidR="00B44C2B">
        <w:rPr>
          <w:b/>
          <w:bCs/>
          <w:sz w:val="22"/>
          <w:szCs w:val="22"/>
          <w:lang w:val="sv-SE"/>
        </w:rPr>
        <w:t>tillträde</w:t>
      </w:r>
      <w:r w:rsidRPr="000D239C">
        <w:rPr>
          <w:b/>
          <w:bCs/>
          <w:sz w:val="22"/>
          <w:szCs w:val="22"/>
          <w:lang w:val="sv-SE"/>
        </w:rPr>
        <w:t xml:space="preserve"> till lägenheterna </w:t>
      </w:r>
      <w:r>
        <w:rPr>
          <w:sz w:val="22"/>
          <w:szCs w:val="22"/>
          <w:lang w:val="sv-SE"/>
        </w:rPr>
        <w:t>på utsatt tid.</w:t>
      </w:r>
    </w:p>
    <w:p w14:paraId="547842C8" w14:textId="64C0EC5D" w:rsidR="00791A5D" w:rsidRDefault="00791A5D" w:rsidP="00033CFD">
      <w:pPr>
        <w:rPr>
          <w:sz w:val="22"/>
          <w:szCs w:val="22"/>
          <w:lang w:val="sv-SE"/>
        </w:rPr>
      </w:pPr>
      <w:r>
        <w:rPr>
          <w:sz w:val="22"/>
          <w:szCs w:val="22"/>
          <w:lang w:val="sv-SE"/>
        </w:rPr>
        <w:t xml:space="preserve">Har du inte möjlighet att vara hemma på utsatt tid, kontakta genast styrelsen så att vi kan hitta en lösning gemensamt </w:t>
      </w:r>
      <w:r w:rsidR="00703584">
        <w:rPr>
          <w:sz w:val="22"/>
          <w:szCs w:val="22"/>
          <w:lang w:val="sv-SE"/>
        </w:rPr>
        <w:t>så</w:t>
      </w:r>
      <w:r>
        <w:rPr>
          <w:sz w:val="22"/>
          <w:szCs w:val="22"/>
          <w:lang w:val="sv-SE"/>
        </w:rPr>
        <w:t xml:space="preserve"> att hantverkarna </w:t>
      </w:r>
      <w:r w:rsidR="00B44C2B">
        <w:rPr>
          <w:sz w:val="22"/>
          <w:szCs w:val="22"/>
          <w:lang w:val="sv-SE"/>
        </w:rPr>
        <w:t>kan</w:t>
      </w:r>
      <w:r>
        <w:rPr>
          <w:sz w:val="22"/>
          <w:szCs w:val="22"/>
          <w:lang w:val="sv-SE"/>
        </w:rPr>
        <w:t xml:space="preserve"> få tillträde till lägenheten.</w:t>
      </w:r>
    </w:p>
    <w:p w14:paraId="002BA430" w14:textId="73939016" w:rsidR="00B44C2B" w:rsidRDefault="00B44C2B" w:rsidP="00033CFD">
      <w:pPr>
        <w:rPr>
          <w:sz w:val="22"/>
          <w:szCs w:val="22"/>
          <w:lang w:val="sv-SE"/>
        </w:rPr>
      </w:pPr>
      <w:r>
        <w:rPr>
          <w:sz w:val="22"/>
          <w:szCs w:val="22"/>
          <w:lang w:val="sv-SE"/>
        </w:rPr>
        <w:t>Får inte hantverkarna tillträde till lägenheterna på utsatt tid kan det innebära ökade kostnader för föreningen.</w:t>
      </w:r>
    </w:p>
    <w:p w14:paraId="35A2521E" w14:textId="564665A5" w:rsidR="00BB48E1" w:rsidRDefault="00BB48E1" w:rsidP="00033CFD">
      <w:pPr>
        <w:rPr>
          <w:b/>
          <w:bCs/>
          <w:sz w:val="28"/>
          <w:szCs w:val="28"/>
          <w:lang w:val="sv-SE"/>
        </w:rPr>
      </w:pPr>
      <w:r>
        <w:rPr>
          <w:sz w:val="22"/>
          <w:szCs w:val="22"/>
          <w:lang w:val="sv-SE"/>
        </w:rPr>
        <w:br/>
      </w:r>
      <w:r w:rsidR="00414968">
        <w:rPr>
          <w:b/>
          <w:bCs/>
          <w:sz w:val="28"/>
          <w:szCs w:val="28"/>
          <w:lang w:val="sv-SE"/>
        </w:rPr>
        <w:t>Inglasning av loftgångar</w:t>
      </w:r>
    </w:p>
    <w:p w14:paraId="579874F3" w14:textId="498411FB" w:rsidR="00F90C83" w:rsidRDefault="00F90C83" w:rsidP="00033CFD">
      <w:pPr>
        <w:rPr>
          <w:sz w:val="22"/>
          <w:szCs w:val="22"/>
          <w:lang w:val="sv-SE"/>
        </w:rPr>
      </w:pPr>
      <w:r>
        <w:rPr>
          <w:sz w:val="22"/>
          <w:szCs w:val="22"/>
          <w:lang w:val="sv-SE"/>
        </w:rPr>
        <w:t xml:space="preserve">Föreningen har fått bygglov </w:t>
      </w:r>
      <w:r w:rsidR="00703584">
        <w:rPr>
          <w:sz w:val="22"/>
          <w:szCs w:val="22"/>
          <w:lang w:val="sv-SE"/>
        </w:rPr>
        <w:t xml:space="preserve">beviljat </w:t>
      </w:r>
      <w:r>
        <w:rPr>
          <w:sz w:val="22"/>
          <w:szCs w:val="22"/>
          <w:lang w:val="sv-SE"/>
        </w:rPr>
        <w:t>av kommunen för inglasning av uteplatserna som finns på loftgångarna. Det innebär att du som medlem</w:t>
      </w:r>
      <w:r w:rsidR="00703584">
        <w:rPr>
          <w:sz w:val="22"/>
          <w:szCs w:val="22"/>
          <w:lang w:val="sv-SE"/>
        </w:rPr>
        <w:t>,</w:t>
      </w:r>
      <w:r>
        <w:rPr>
          <w:sz w:val="22"/>
          <w:szCs w:val="22"/>
          <w:lang w:val="sv-SE"/>
        </w:rPr>
        <w:t xml:space="preserve"> som bor i en tvåa eller trea på övervåningen</w:t>
      </w:r>
      <w:r w:rsidR="00703584">
        <w:rPr>
          <w:sz w:val="22"/>
          <w:szCs w:val="22"/>
          <w:lang w:val="sv-SE"/>
        </w:rPr>
        <w:t>,</w:t>
      </w:r>
      <w:r>
        <w:rPr>
          <w:sz w:val="22"/>
          <w:szCs w:val="22"/>
          <w:lang w:val="sv-SE"/>
        </w:rPr>
        <w:t xml:space="preserve"> har möjlighet att glasa in den delen av uteplatsen.</w:t>
      </w:r>
    </w:p>
    <w:p w14:paraId="1B9F0829" w14:textId="6371E385" w:rsidR="00414968" w:rsidRDefault="00F90C83" w:rsidP="00033CFD">
      <w:pPr>
        <w:rPr>
          <w:sz w:val="22"/>
          <w:szCs w:val="22"/>
          <w:lang w:val="sv-SE"/>
        </w:rPr>
      </w:pPr>
      <w:r>
        <w:rPr>
          <w:sz w:val="22"/>
          <w:szCs w:val="22"/>
          <w:lang w:val="sv-SE"/>
        </w:rPr>
        <w:t xml:space="preserve">Det finns en del regler att förhålla sig kring inglasningen, så </w:t>
      </w:r>
      <w:r w:rsidRPr="00F90C83">
        <w:rPr>
          <w:b/>
          <w:bCs/>
          <w:sz w:val="22"/>
          <w:szCs w:val="22"/>
          <w:lang w:val="sv-SE"/>
        </w:rPr>
        <w:t>kontakta styrelsen</w:t>
      </w:r>
      <w:r>
        <w:rPr>
          <w:sz w:val="22"/>
          <w:szCs w:val="22"/>
          <w:lang w:val="sv-SE"/>
        </w:rPr>
        <w:t xml:space="preserve"> först för mer information innan du påbörjar ditt projekt med att glasa in din uteplats</w:t>
      </w:r>
      <w:r w:rsidR="00EB63A2">
        <w:rPr>
          <w:sz w:val="22"/>
          <w:szCs w:val="22"/>
          <w:lang w:val="sv-SE"/>
        </w:rPr>
        <w:t xml:space="preserve"> på loftgången</w:t>
      </w:r>
      <w:r>
        <w:rPr>
          <w:sz w:val="22"/>
          <w:szCs w:val="22"/>
          <w:lang w:val="sv-SE"/>
        </w:rPr>
        <w:t>.</w:t>
      </w:r>
    </w:p>
    <w:p w14:paraId="67FB2A86" w14:textId="77777777" w:rsidR="004E1AC4" w:rsidRDefault="004E1AC4" w:rsidP="00033CFD">
      <w:pPr>
        <w:rPr>
          <w:sz w:val="22"/>
          <w:szCs w:val="22"/>
          <w:lang w:val="sv-SE"/>
        </w:rPr>
      </w:pPr>
    </w:p>
    <w:p w14:paraId="46D4141C" w14:textId="389B38A6" w:rsidR="004E1AC4" w:rsidRDefault="007307D6" w:rsidP="00033CFD">
      <w:pPr>
        <w:rPr>
          <w:b/>
          <w:bCs/>
          <w:sz w:val="28"/>
          <w:szCs w:val="28"/>
          <w:lang w:val="sv-SE"/>
        </w:rPr>
      </w:pPr>
      <w:r>
        <w:rPr>
          <w:b/>
          <w:bCs/>
          <w:sz w:val="28"/>
          <w:szCs w:val="28"/>
          <w:lang w:val="sv-SE"/>
        </w:rPr>
        <w:t>Uppdaterad teknik i samlingslokalen</w:t>
      </w:r>
    </w:p>
    <w:p w14:paraId="61388287" w14:textId="21AD7C01" w:rsidR="007307D6" w:rsidRDefault="007307D6" w:rsidP="00033CFD">
      <w:pPr>
        <w:rPr>
          <w:sz w:val="22"/>
          <w:szCs w:val="22"/>
          <w:lang w:val="sv-SE"/>
        </w:rPr>
      </w:pPr>
      <w:r>
        <w:rPr>
          <w:sz w:val="22"/>
          <w:szCs w:val="22"/>
          <w:lang w:val="sv-SE"/>
        </w:rPr>
        <w:t>Under våren har styrelsen uppgraderat tekniken i samlingslokalen för att ni medlemmar ska få en bättre upplevelse när ni bokar lokalen för hockeykvällar, födelsedagsfirande, fester etc.</w:t>
      </w:r>
    </w:p>
    <w:p w14:paraId="3ECB64FE" w14:textId="0F8BF8D3" w:rsidR="004E1AC4" w:rsidRDefault="007307D6" w:rsidP="00F540AF">
      <w:pPr>
        <w:rPr>
          <w:b/>
          <w:bCs/>
          <w:sz w:val="28"/>
          <w:szCs w:val="28"/>
          <w:lang w:val="sv-SE"/>
        </w:rPr>
      </w:pPr>
      <w:r>
        <w:rPr>
          <w:sz w:val="22"/>
          <w:szCs w:val="22"/>
          <w:lang w:val="sv-SE"/>
        </w:rPr>
        <w:t xml:space="preserve">Ny bild och ljudutrustning har installerats samt att ett basutbud av kanaler via </w:t>
      </w:r>
      <w:r w:rsidR="003B6732">
        <w:rPr>
          <w:sz w:val="22"/>
          <w:szCs w:val="22"/>
          <w:lang w:val="sv-SE"/>
        </w:rPr>
        <w:t>Telenor</w:t>
      </w:r>
      <w:r>
        <w:rPr>
          <w:sz w:val="22"/>
          <w:szCs w:val="22"/>
          <w:lang w:val="sv-SE"/>
        </w:rPr>
        <w:t xml:space="preserve"> finns att tillgå i lokalen.</w:t>
      </w:r>
      <w:r w:rsidR="009B4B0A" w:rsidRPr="007C7644">
        <w:rPr>
          <w:b/>
          <w:bCs/>
          <w:noProof/>
          <w:sz w:val="36"/>
          <w:szCs w:val="36"/>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4"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5"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1CFFD9A6" w14:textId="77777777" w:rsidR="004E1AC4" w:rsidRDefault="004E1AC4" w:rsidP="00F540AF">
      <w:pPr>
        <w:rPr>
          <w:b/>
          <w:bCs/>
          <w:sz w:val="28"/>
          <w:szCs w:val="28"/>
          <w:lang w:val="sv-SE"/>
        </w:rPr>
      </w:pPr>
    </w:p>
    <w:p w14:paraId="4B4B2748" w14:textId="3FFAE486" w:rsidR="00EB63A2" w:rsidRDefault="00112C79" w:rsidP="00EB63A2">
      <w:pPr>
        <w:rPr>
          <w:b/>
          <w:bCs/>
          <w:sz w:val="28"/>
          <w:szCs w:val="28"/>
          <w:lang w:val="sv-SE"/>
        </w:rPr>
      </w:pPr>
      <w:r>
        <w:rPr>
          <w:b/>
          <w:bCs/>
          <w:sz w:val="28"/>
          <w:szCs w:val="28"/>
          <w:lang w:val="sv-SE"/>
        </w:rPr>
        <w:t>Nytt bokningssystem för tvättstuga, samlingslokal och bastu</w:t>
      </w:r>
    </w:p>
    <w:p w14:paraId="6918B861" w14:textId="5FAA4197" w:rsidR="00112C79" w:rsidRDefault="00112C79" w:rsidP="00EB63A2">
      <w:pPr>
        <w:rPr>
          <w:sz w:val="22"/>
          <w:szCs w:val="22"/>
          <w:lang w:val="sv-SE"/>
        </w:rPr>
      </w:pPr>
      <w:r>
        <w:rPr>
          <w:sz w:val="22"/>
          <w:szCs w:val="22"/>
          <w:lang w:val="sv-SE"/>
        </w:rPr>
        <w:t>Styrelsen har beslutat att införa ett digitalt bokningssystem för tvättstuga, samlingslokal och bastu. Arbetet med ett införande av det nya bokningssystemet pågår och mer information kommer innan det tas i bruk.</w:t>
      </w:r>
    </w:p>
    <w:p w14:paraId="17774AF1" w14:textId="77777777" w:rsidR="00732964" w:rsidRDefault="00732964" w:rsidP="00EB63A2">
      <w:pPr>
        <w:rPr>
          <w:b/>
          <w:bCs/>
          <w:sz w:val="28"/>
          <w:szCs w:val="28"/>
          <w:lang w:val="sv-SE"/>
        </w:rPr>
      </w:pPr>
    </w:p>
    <w:p w14:paraId="1F7F3B5E" w14:textId="2C241452" w:rsidR="004E1AC4" w:rsidRPr="00732964" w:rsidRDefault="00732964" w:rsidP="00F540AF">
      <w:pPr>
        <w:rPr>
          <w:sz w:val="28"/>
          <w:szCs w:val="28"/>
          <w:lang w:val="sv-SE"/>
        </w:rPr>
      </w:pPr>
      <w:r>
        <w:rPr>
          <w:sz w:val="28"/>
          <w:szCs w:val="28"/>
          <w:lang w:val="sv-SE"/>
        </w:rPr>
        <w:t>Styrelsen önska</w:t>
      </w:r>
      <w:r w:rsidR="00B75AA1">
        <w:rPr>
          <w:sz w:val="28"/>
          <w:szCs w:val="28"/>
          <w:lang w:val="sv-SE"/>
        </w:rPr>
        <w:t>r</w:t>
      </w:r>
      <w:r>
        <w:rPr>
          <w:sz w:val="28"/>
          <w:szCs w:val="28"/>
          <w:lang w:val="sv-SE"/>
        </w:rPr>
        <w:t xml:space="preserve"> alla medlemmar en trevlig sommar.</w:t>
      </w:r>
    </w:p>
    <w:p w14:paraId="2213CCE7" w14:textId="77777777" w:rsidR="004E1AC4" w:rsidRPr="00D04B96" w:rsidRDefault="004E1AC4" w:rsidP="00F540AF">
      <w:pPr>
        <w:rPr>
          <w:b/>
          <w:bCs/>
          <w:sz w:val="28"/>
          <w:szCs w:val="28"/>
          <w:lang w:val="sv-SE"/>
        </w:rPr>
      </w:pPr>
    </w:p>
    <w:sectPr w:rsidR="004E1AC4" w:rsidRPr="00D04B96" w:rsidSect="00E84E0D">
      <w:footerReference w:type="default" r:id="rId16"/>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ABD24" w14:textId="77777777" w:rsidR="00407AF7" w:rsidRDefault="00407AF7">
      <w:pPr>
        <w:spacing w:after="0" w:line="240" w:lineRule="auto"/>
      </w:pPr>
      <w:r>
        <w:separator/>
      </w:r>
    </w:p>
  </w:endnote>
  <w:endnote w:type="continuationSeparator" w:id="0">
    <w:p w14:paraId="4298B2C0" w14:textId="77777777" w:rsidR="00407AF7" w:rsidRDefault="0040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2A80E" w14:textId="77777777" w:rsidR="00407AF7" w:rsidRDefault="00407AF7">
      <w:pPr>
        <w:spacing w:after="0" w:line="240" w:lineRule="auto"/>
      </w:pPr>
      <w:r>
        <w:separator/>
      </w:r>
    </w:p>
  </w:footnote>
  <w:footnote w:type="continuationSeparator" w:id="0">
    <w:p w14:paraId="2EADAD59" w14:textId="77777777" w:rsidR="00407AF7" w:rsidRDefault="00407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3"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2"/>
  </w:num>
  <w:num w:numId="2" w16cid:durableId="747653371">
    <w:abstractNumId w:val="3"/>
  </w:num>
  <w:num w:numId="3" w16cid:durableId="1184436335">
    <w:abstractNumId w:val="0"/>
  </w:num>
  <w:num w:numId="4" w16cid:durableId="7346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2144F"/>
    <w:rsid w:val="00033CFD"/>
    <w:rsid w:val="00037D49"/>
    <w:rsid w:val="00044B88"/>
    <w:rsid w:val="00056F34"/>
    <w:rsid w:val="00063E2E"/>
    <w:rsid w:val="0006673F"/>
    <w:rsid w:val="00090438"/>
    <w:rsid w:val="000A578F"/>
    <w:rsid w:val="000B1E57"/>
    <w:rsid w:val="000C626B"/>
    <w:rsid w:val="000D239C"/>
    <w:rsid w:val="00110CF1"/>
    <w:rsid w:val="00112C79"/>
    <w:rsid w:val="0012359F"/>
    <w:rsid w:val="001339A0"/>
    <w:rsid w:val="00197220"/>
    <w:rsid w:val="001A144F"/>
    <w:rsid w:val="001C0BE5"/>
    <w:rsid w:val="001D227C"/>
    <w:rsid w:val="001D7583"/>
    <w:rsid w:val="001E2EE7"/>
    <w:rsid w:val="001E5522"/>
    <w:rsid w:val="001F7FD6"/>
    <w:rsid w:val="00245605"/>
    <w:rsid w:val="00267AA5"/>
    <w:rsid w:val="00282901"/>
    <w:rsid w:val="002C0C22"/>
    <w:rsid w:val="002D6B14"/>
    <w:rsid w:val="002E6B7C"/>
    <w:rsid w:val="002F6952"/>
    <w:rsid w:val="002F6F1F"/>
    <w:rsid w:val="00344121"/>
    <w:rsid w:val="00377235"/>
    <w:rsid w:val="00387A22"/>
    <w:rsid w:val="00391CD1"/>
    <w:rsid w:val="00393439"/>
    <w:rsid w:val="003A7937"/>
    <w:rsid w:val="003B6732"/>
    <w:rsid w:val="003C5E7B"/>
    <w:rsid w:val="003D5FF1"/>
    <w:rsid w:val="00407AF7"/>
    <w:rsid w:val="00414968"/>
    <w:rsid w:val="004168E7"/>
    <w:rsid w:val="004510E7"/>
    <w:rsid w:val="004B0D4F"/>
    <w:rsid w:val="004C3C34"/>
    <w:rsid w:val="004E1AC4"/>
    <w:rsid w:val="004F279A"/>
    <w:rsid w:val="004F568E"/>
    <w:rsid w:val="00514EE2"/>
    <w:rsid w:val="00542508"/>
    <w:rsid w:val="005468E3"/>
    <w:rsid w:val="00551F7D"/>
    <w:rsid w:val="00557E32"/>
    <w:rsid w:val="0057236B"/>
    <w:rsid w:val="00573566"/>
    <w:rsid w:val="0057457E"/>
    <w:rsid w:val="00594ABF"/>
    <w:rsid w:val="005C5391"/>
    <w:rsid w:val="005C61E8"/>
    <w:rsid w:val="005D5BF5"/>
    <w:rsid w:val="00614337"/>
    <w:rsid w:val="0062169B"/>
    <w:rsid w:val="00652609"/>
    <w:rsid w:val="00686AA7"/>
    <w:rsid w:val="00687269"/>
    <w:rsid w:val="006B0F70"/>
    <w:rsid w:val="006D7967"/>
    <w:rsid w:val="006F5038"/>
    <w:rsid w:val="00703584"/>
    <w:rsid w:val="00714F6F"/>
    <w:rsid w:val="007165F5"/>
    <w:rsid w:val="007307D6"/>
    <w:rsid w:val="00732964"/>
    <w:rsid w:val="00755131"/>
    <w:rsid w:val="00756EED"/>
    <w:rsid w:val="00777B1E"/>
    <w:rsid w:val="00791A5D"/>
    <w:rsid w:val="00791B38"/>
    <w:rsid w:val="0079282E"/>
    <w:rsid w:val="007960F7"/>
    <w:rsid w:val="007B1015"/>
    <w:rsid w:val="007B50C7"/>
    <w:rsid w:val="007B57AC"/>
    <w:rsid w:val="007C7644"/>
    <w:rsid w:val="007D035D"/>
    <w:rsid w:val="00806EF5"/>
    <w:rsid w:val="00843722"/>
    <w:rsid w:val="00897DAB"/>
    <w:rsid w:val="008B4F17"/>
    <w:rsid w:val="008B6498"/>
    <w:rsid w:val="008C0275"/>
    <w:rsid w:val="008C4469"/>
    <w:rsid w:val="008C52C9"/>
    <w:rsid w:val="008E798A"/>
    <w:rsid w:val="008F3403"/>
    <w:rsid w:val="00926C27"/>
    <w:rsid w:val="0095510D"/>
    <w:rsid w:val="00975652"/>
    <w:rsid w:val="009A2ADF"/>
    <w:rsid w:val="009B4B0A"/>
    <w:rsid w:val="009B6C7E"/>
    <w:rsid w:val="009C7694"/>
    <w:rsid w:val="00A1303F"/>
    <w:rsid w:val="00A34622"/>
    <w:rsid w:val="00A35FC6"/>
    <w:rsid w:val="00A41247"/>
    <w:rsid w:val="00A5384D"/>
    <w:rsid w:val="00AD2807"/>
    <w:rsid w:val="00AE1A43"/>
    <w:rsid w:val="00AE268F"/>
    <w:rsid w:val="00AE2B1C"/>
    <w:rsid w:val="00AF27C2"/>
    <w:rsid w:val="00B1319A"/>
    <w:rsid w:val="00B221A0"/>
    <w:rsid w:val="00B26BAE"/>
    <w:rsid w:val="00B44C2B"/>
    <w:rsid w:val="00B57349"/>
    <w:rsid w:val="00B659DA"/>
    <w:rsid w:val="00B75AA1"/>
    <w:rsid w:val="00BB48E1"/>
    <w:rsid w:val="00BC6765"/>
    <w:rsid w:val="00BD0868"/>
    <w:rsid w:val="00BE0D9B"/>
    <w:rsid w:val="00BE78FA"/>
    <w:rsid w:val="00BF4995"/>
    <w:rsid w:val="00C07194"/>
    <w:rsid w:val="00C355C5"/>
    <w:rsid w:val="00CA302A"/>
    <w:rsid w:val="00CA5B95"/>
    <w:rsid w:val="00CE1923"/>
    <w:rsid w:val="00D042A8"/>
    <w:rsid w:val="00D04B96"/>
    <w:rsid w:val="00D30784"/>
    <w:rsid w:val="00D32517"/>
    <w:rsid w:val="00D37F61"/>
    <w:rsid w:val="00D41376"/>
    <w:rsid w:val="00D52B4D"/>
    <w:rsid w:val="00D56B84"/>
    <w:rsid w:val="00D61B27"/>
    <w:rsid w:val="00D8525E"/>
    <w:rsid w:val="00DB6EB2"/>
    <w:rsid w:val="00DB7E8C"/>
    <w:rsid w:val="00DF108B"/>
    <w:rsid w:val="00E12D23"/>
    <w:rsid w:val="00E244A4"/>
    <w:rsid w:val="00E37704"/>
    <w:rsid w:val="00E46E39"/>
    <w:rsid w:val="00E82B5A"/>
    <w:rsid w:val="00E84E0D"/>
    <w:rsid w:val="00E86175"/>
    <w:rsid w:val="00E87B6E"/>
    <w:rsid w:val="00EA499A"/>
    <w:rsid w:val="00EA6885"/>
    <w:rsid w:val="00EA6D0C"/>
    <w:rsid w:val="00EB63A2"/>
    <w:rsid w:val="00ED01D6"/>
    <w:rsid w:val="00EE6E25"/>
    <w:rsid w:val="00F01696"/>
    <w:rsid w:val="00F06387"/>
    <w:rsid w:val="00F07889"/>
    <w:rsid w:val="00F10BB9"/>
    <w:rsid w:val="00F140B6"/>
    <w:rsid w:val="00F476B1"/>
    <w:rsid w:val="00F540AF"/>
    <w:rsid w:val="00F86F7A"/>
    <w:rsid w:val="00F90C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n.engman@kuusakosk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Props1.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2.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4.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docProps/app.xml><?xml version="1.0" encoding="utf-8"?>
<Properties xmlns="http://schemas.openxmlformats.org/officeDocument/2006/extended-properties" xmlns:vt="http://schemas.openxmlformats.org/officeDocument/2006/docPropsVTypes">
  <Template>tf02805139_win32</Template>
  <TotalTime>95</TotalTime>
  <Pages>2</Pages>
  <Words>410</Words>
  <Characters>2179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21</cp:revision>
  <cp:lastPrinted>2023-04-16T08:28:00Z</cp:lastPrinted>
  <dcterms:created xsi:type="dcterms:W3CDTF">2024-05-21T14:38:00Z</dcterms:created>
  <dcterms:modified xsi:type="dcterms:W3CDTF">2024-05-22T14:59:00Z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