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461A" w14:textId="77777777" w:rsidR="00E43055" w:rsidRDefault="00000000">
      <w:pPr>
        <w:tabs>
          <w:tab w:val="center" w:pos="6678"/>
          <w:tab w:val="center" w:pos="8505"/>
        </w:tabs>
        <w:spacing w:after="617" w:line="259" w:lineRule="auto"/>
        <w:ind w:left="0" w:firstLine="0"/>
      </w:pPr>
      <w:r>
        <w:rPr>
          <w:noProof/>
        </w:rPr>
        <w:drawing>
          <wp:anchor distT="0" distB="0" distL="114300" distR="114300" simplePos="0" relativeHeight="251658240" behindDoc="0" locked="0" layoutInCell="1" allowOverlap="0" wp14:anchorId="251122D4" wp14:editId="1D71DDCF">
            <wp:simplePos x="0" y="0"/>
            <wp:positionH relativeFrom="column">
              <wp:posOffset>-201662</wp:posOffset>
            </wp:positionH>
            <wp:positionV relativeFrom="paragraph">
              <wp:posOffset>-2410</wp:posOffset>
            </wp:positionV>
            <wp:extent cx="859790" cy="601548"/>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4"/>
                    <a:stretch>
                      <a:fillRect/>
                    </a:stretch>
                  </pic:blipFill>
                  <pic:spPr>
                    <a:xfrm>
                      <a:off x="0" y="0"/>
                      <a:ext cx="859790" cy="601548"/>
                    </a:xfrm>
                    <a:prstGeom prst="rect">
                      <a:avLst/>
                    </a:prstGeom>
                  </pic:spPr>
                </pic:pic>
              </a:graphicData>
            </a:graphic>
          </wp:anchor>
        </w:drawing>
      </w:r>
      <w:r>
        <w:rPr>
          <w:rFonts w:ascii="Calibri" w:eastAsia="Calibri" w:hAnsi="Calibri" w:cs="Calibri"/>
        </w:rPr>
        <w:tab/>
      </w:r>
      <w:r>
        <w:rPr>
          <w:rFonts w:ascii="Arial" w:eastAsia="Arial" w:hAnsi="Arial" w:cs="Arial"/>
          <w:sz w:val="16"/>
        </w:rPr>
        <w:t xml:space="preserve">2023-01-16 </w:t>
      </w:r>
      <w:r>
        <w:rPr>
          <w:rFonts w:ascii="Arial" w:eastAsia="Arial" w:hAnsi="Arial" w:cs="Arial"/>
          <w:sz w:val="16"/>
        </w:rPr>
        <w:tab/>
        <w:t xml:space="preserve"> </w:t>
      </w:r>
    </w:p>
    <w:p w14:paraId="60BE16F4" w14:textId="77777777" w:rsidR="00E43055" w:rsidRDefault="00000000">
      <w:pPr>
        <w:spacing w:after="732" w:line="216" w:lineRule="auto"/>
        <w:ind w:left="0" w:right="7404" w:firstLine="0"/>
      </w:pPr>
      <w:r>
        <w:rPr>
          <w:rFonts w:ascii="Arial" w:eastAsia="Arial" w:hAnsi="Arial" w:cs="Arial"/>
          <w:sz w:val="16"/>
        </w:rPr>
        <w:t xml:space="preserve">  </w:t>
      </w:r>
    </w:p>
    <w:p w14:paraId="778381BA" w14:textId="77777777" w:rsidR="00E43055" w:rsidRDefault="00000000">
      <w:pPr>
        <w:spacing w:after="208" w:line="259" w:lineRule="auto"/>
        <w:ind w:left="0" w:firstLine="0"/>
      </w:pPr>
      <w:r>
        <w:rPr>
          <w:rFonts w:ascii="Arial" w:eastAsia="Arial" w:hAnsi="Arial" w:cs="Arial"/>
          <w:b/>
          <w:color w:val="003366"/>
          <w:sz w:val="34"/>
        </w:rPr>
        <w:t xml:space="preserve"> </w:t>
      </w:r>
    </w:p>
    <w:p w14:paraId="0B14BCC7" w14:textId="77777777" w:rsidR="00E43055" w:rsidRDefault="00000000">
      <w:pPr>
        <w:pStyle w:val="Rubrik1"/>
      </w:pPr>
      <w:r>
        <w:t>VIKTIGA NYHETER I 2023 ÅRS NORMALSTADGAR FÖR HSB BOSTADSRÄTTSFÖRENING</w:t>
      </w:r>
    </w:p>
    <w:p w14:paraId="359AC9AD" w14:textId="77777777" w:rsidR="00E43055" w:rsidRDefault="00000000">
      <w:pPr>
        <w:spacing w:after="498"/>
      </w:pPr>
      <w:r>
        <w:t xml:space="preserve">2023 års normalstadgar för HSB bostadsrättsförening har samma struktur och paragrafnumrering som 2011 års normalstadgar för HSB bostadsrättsförening. Några paragrafer har dock fått annan rubrik.  </w:t>
      </w:r>
    </w:p>
    <w:p w14:paraId="0E37D235" w14:textId="77777777" w:rsidR="00E43055" w:rsidRDefault="00000000">
      <w:r>
        <w:t>Här följer en sammanställning av några av de viktigare nyheterna i 2023 års HSB normalstadgar för bostadsrättsförening jämfört med 2011 års HSB normalstadgar för bostadsrättsförening:</w:t>
      </w:r>
    </w:p>
    <w:p w14:paraId="0E88055D" w14:textId="77777777" w:rsidR="00E43055" w:rsidRDefault="00000000">
      <w:pPr>
        <w:spacing w:after="0" w:line="259" w:lineRule="auto"/>
        <w:ind w:left="0" w:firstLine="0"/>
      </w:pPr>
      <w:r>
        <w:t xml:space="preserve"> </w:t>
      </w:r>
    </w:p>
    <w:p w14:paraId="1342668D" w14:textId="77777777" w:rsidR="00E43055" w:rsidRDefault="00000000">
      <w:pPr>
        <w:spacing w:line="259" w:lineRule="auto"/>
        <w:ind w:left="0" w:firstLine="0"/>
      </w:pPr>
      <w:r>
        <w:t xml:space="preserve"> </w:t>
      </w:r>
    </w:p>
    <w:p w14:paraId="7564F7AD"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12</w:t>
      </w:r>
      <w:r>
        <w:rPr>
          <w:b w:val="0"/>
        </w:rPr>
        <w:t xml:space="preserve"> </w:t>
      </w:r>
      <w:r>
        <w:rPr>
          <w:b w:val="0"/>
          <w:color w:val="000000"/>
        </w:rPr>
        <w:t xml:space="preserve"> </w:t>
      </w:r>
    </w:p>
    <w:p w14:paraId="3D7E9A7D" w14:textId="77777777" w:rsidR="00E43055" w:rsidRDefault="00000000">
      <w:pPr>
        <w:ind w:left="715"/>
      </w:pPr>
      <w:r>
        <w:t xml:space="preserve">Tillägg av ett stycke innebärande att påminnelseavgift och inkassoavgift även kan tas ut för det fall exempelvis överlåtelseavgift eller avgift för andrahandsupplåtelse inte betalas i rätt tid. </w:t>
      </w:r>
    </w:p>
    <w:p w14:paraId="3CF983F4" w14:textId="77777777" w:rsidR="00E43055" w:rsidRDefault="00000000">
      <w:pPr>
        <w:spacing w:after="19" w:line="259" w:lineRule="auto"/>
        <w:ind w:left="720" w:firstLine="0"/>
      </w:pPr>
      <w:r>
        <w:t xml:space="preserve"> </w:t>
      </w:r>
    </w:p>
    <w:p w14:paraId="4B47F99D"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13</w:t>
      </w:r>
      <w:r>
        <w:rPr>
          <w:b w:val="0"/>
          <w:color w:val="000000"/>
        </w:rPr>
        <w:t xml:space="preserve">  </w:t>
      </w:r>
    </w:p>
    <w:p w14:paraId="233FCAF0" w14:textId="77777777" w:rsidR="00E43055" w:rsidRDefault="00000000">
      <w:pPr>
        <w:ind w:left="715"/>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45709EB" wp14:editId="0A244D4C">
                <wp:simplePos x="0" y="0"/>
                <wp:positionH relativeFrom="page">
                  <wp:posOffset>373936</wp:posOffset>
                </wp:positionH>
                <wp:positionV relativeFrom="page">
                  <wp:posOffset>9676141</wp:posOffset>
                </wp:positionV>
                <wp:extent cx="113850" cy="28386"/>
                <wp:effectExtent l="0" t="0" r="0" b="0"/>
                <wp:wrapTopAndBottom/>
                <wp:docPr id="1878" name="Group 1878"/>
                <wp:cNvGraphicFramePr/>
                <a:graphic xmlns:a="http://schemas.openxmlformats.org/drawingml/2006/main">
                  <a:graphicData uri="http://schemas.microsoft.com/office/word/2010/wordprocessingGroup">
                    <wpg:wgp>
                      <wpg:cNvGrpSpPr/>
                      <wpg:grpSpPr>
                        <a:xfrm>
                          <a:off x="0" y="0"/>
                          <a:ext cx="113850" cy="28386"/>
                          <a:chOff x="0" y="0"/>
                          <a:chExt cx="113850" cy="28386"/>
                        </a:xfrm>
                      </wpg:grpSpPr>
                      <wps:wsp>
                        <wps:cNvPr id="41" name="Rectangle 41"/>
                        <wps:cNvSpPr/>
                        <wps:spPr>
                          <a:xfrm rot="-5399999">
                            <a:off x="56834" y="-66200"/>
                            <a:ext cx="37753" cy="151421"/>
                          </a:xfrm>
                          <a:prstGeom prst="rect">
                            <a:avLst/>
                          </a:prstGeom>
                          <a:ln>
                            <a:noFill/>
                          </a:ln>
                        </wps:spPr>
                        <wps:txbx>
                          <w:txbxContent>
                            <w:p w14:paraId="3D90E249" w14:textId="77777777" w:rsidR="00E43055" w:rsidRDefault="00000000">
                              <w:pPr>
                                <w:spacing w:after="160" w:line="259" w:lineRule="auto"/>
                                <w:ind w:left="0" w:firstLine="0"/>
                              </w:pPr>
                              <w:r>
                                <w:rPr>
                                  <w:rFonts w:ascii="Arial" w:eastAsia="Arial" w:hAnsi="Arial" w:cs="Arial"/>
                                  <w:color w:val="B5B6B3"/>
                                  <w:sz w:val="16"/>
                                </w:rPr>
                                <w:t xml:space="preserve"> </w:t>
                              </w:r>
                            </w:p>
                          </w:txbxContent>
                        </wps:txbx>
                        <wps:bodyPr horzOverflow="overflow" vert="horz" lIns="0" tIns="0" rIns="0" bIns="0" rtlCol="0">
                          <a:noAutofit/>
                        </wps:bodyPr>
                      </wps:wsp>
                    </wpg:wgp>
                  </a:graphicData>
                </a:graphic>
              </wp:anchor>
            </w:drawing>
          </mc:Choice>
          <mc:Fallback>
            <w:pict>
              <v:group w14:anchorId="345709EB" id="Group 1878" o:spid="_x0000_s1026" style="position:absolute;left:0;text-align:left;margin-left:29.45pt;margin-top:761.9pt;width:8.95pt;height:2.25pt;z-index:251659264;mso-position-horizontal-relative:page;mso-position-vertical-relative:page" coordsize="113850,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">
                <v:rect id="Rectangle 41" o:spid="_x0000_s1027" style="position:absolute;left:56834;top:-66200;width:37753;height:1514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" filled="f" stroked="f">
                  <v:textbox inset="0,0,0,0">
                    <w:txbxContent>
                      <w:p w14:paraId="3D90E249" w14:textId="77777777" w:rsidR="00E43055" w:rsidRDefault="00000000">
                        <w:pPr>
                          <w:spacing w:after="160" w:line="259" w:lineRule="auto"/>
                          <w:ind w:left="0" w:firstLine="0"/>
                        </w:pPr>
                        <w:r>
                          <w:rPr>
                            <w:rFonts w:ascii="Arial" w:eastAsia="Arial" w:hAnsi="Arial" w:cs="Arial"/>
                            <w:color w:val="B5B6B3"/>
                            <w:sz w:val="16"/>
                          </w:rPr>
                          <w:t xml:space="preserve"> </w:t>
                        </w:r>
                      </w:p>
                    </w:txbxContent>
                  </v:textbox>
                </v:rect>
                <w10:wrap type="topAndBottom" anchorx="page" anchory="page"/>
              </v:group>
            </w:pict>
          </mc:Fallback>
        </mc:AlternateContent>
      </w:r>
      <w:r>
        <w:t xml:space="preserve">Tillägg innebärande att årsredovisningen även ska innehålla en kassaflödesanalys. Detta följer av ändring i årsredovisningslagen. </w:t>
      </w:r>
    </w:p>
    <w:p w14:paraId="615916ED" w14:textId="77777777" w:rsidR="00E43055" w:rsidRDefault="00000000">
      <w:pPr>
        <w:spacing w:after="19" w:line="259" w:lineRule="auto"/>
        <w:ind w:left="720" w:firstLine="0"/>
      </w:pPr>
      <w:r>
        <w:t xml:space="preserve"> </w:t>
      </w:r>
    </w:p>
    <w:p w14:paraId="31D175B7"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16</w:t>
      </w:r>
      <w:r>
        <w:rPr>
          <w:b w:val="0"/>
          <w:color w:val="000000"/>
        </w:rPr>
        <w:t xml:space="preserve">  </w:t>
      </w:r>
    </w:p>
    <w:p w14:paraId="4B9DAB5F" w14:textId="77777777" w:rsidR="00E43055" w:rsidRDefault="00000000">
      <w:pPr>
        <w:ind w:left="715"/>
      </w:pPr>
      <w:r>
        <w:t xml:space="preserve">En skrivning har införts gällande att den kallelsetid som anges även gäller vid en extra föreningsstämma som ska behandla fråga om stadgeändring. Enligt lag gäller en längre kallelsetid vid extra föreningsstämma som ska behandla exempelvis en fråga om ändring av stadgar, men det är möjligt att i stadgar bestämma att kallelse får utfärdas senare.  </w:t>
      </w:r>
    </w:p>
    <w:p w14:paraId="7AC436B2" w14:textId="77777777" w:rsidR="00E43055" w:rsidRDefault="00000000">
      <w:pPr>
        <w:spacing w:after="16" w:line="259" w:lineRule="auto"/>
        <w:ind w:left="720" w:firstLine="0"/>
      </w:pPr>
      <w:r>
        <w:t xml:space="preserve"> </w:t>
      </w:r>
    </w:p>
    <w:p w14:paraId="54734D0A"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22</w:t>
      </w:r>
      <w:r>
        <w:rPr>
          <w:b w:val="0"/>
          <w:color w:val="000000"/>
        </w:rPr>
        <w:t xml:space="preserve">  </w:t>
      </w:r>
    </w:p>
    <w:p w14:paraId="665F5491" w14:textId="77777777" w:rsidR="00E43055" w:rsidRDefault="00000000">
      <w:pPr>
        <w:ind w:left="715"/>
      </w:pPr>
      <w:r>
        <w:t xml:space="preserve">En formulering har införts som innebär att om en stämmovald styrelseordförande lämnar sitt uppdrag under mandattiden så ska styrelsen inom sig välja en ny ordförande för tiden fram till nästa föreningsstämma. </w:t>
      </w:r>
    </w:p>
    <w:p w14:paraId="723C3A01" w14:textId="77777777" w:rsidR="00E43055" w:rsidRDefault="00000000">
      <w:pPr>
        <w:spacing w:after="16" w:line="259" w:lineRule="auto"/>
        <w:ind w:left="720" w:firstLine="0"/>
      </w:pPr>
      <w:r>
        <w:t xml:space="preserve"> </w:t>
      </w:r>
    </w:p>
    <w:p w14:paraId="0B8A37D2"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22</w:t>
      </w:r>
      <w:r>
        <w:rPr>
          <w:b w:val="0"/>
          <w:color w:val="000000"/>
        </w:rPr>
        <w:t xml:space="preserve">  </w:t>
      </w:r>
    </w:p>
    <w:p w14:paraId="508C25B7" w14:textId="77777777" w:rsidR="00E43055" w:rsidRDefault="00000000">
      <w:pPr>
        <w:ind w:left="715"/>
      </w:pPr>
      <w:r>
        <w:t xml:space="preserve">Kravet att styrelsen ska utse en organisatör för studie- och fritidsverksamhet har tagits bort och ersatts av att en ansvarig för introduktion och utbildning av medlemmar ska utses. </w:t>
      </w:r>
    </w:p>
    <w:p w14:paraId="2B8FC0B0" w14:textId="77777777" w:rsidR="00E43055" w:rsidRDefault="00000000">
      <w:pPr>
        <w:spacing w:after="2" w:line="259" w:lineRule="auto"/>
        <w:ind w:left="0" w:firstLine="0"/>
      </w:pPr>
      <w:r>
        <w:t xml:space="preserve"> </w:t>
      </w:r>
    </w:p>
    <w:p w14:paraId="44DFE64C"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29</w:t>
      </w:r>
      <w:r>
        <w:rPr>
          <w:b w:val="0"/>
          <w:color w:val="000000"/>
        </w:rPr>
        <w:t xml:space="preserve">  </w:t>
      </w:r>
    </w:p>
    <w:p w14:paraId="5C92BA97" w14:textId="77777777" w:rsidR="00E43055" w:rsidRDefault="00000000">
      <w:pPr>
        <w:spacing w:after="736"/>
        <w:ind w:left="715"/>
      </w:pPr>
      <w:r>
        <w:t xml:space="preserve">En bestämmelse har förts in innebärande att om föreningens resultat innebär en förlust så har föreningen en skyldighet att lämna upplysning om vad förlusten innebär för bostadsrättsföreningens möjlighet att finansiera sina framtida ekonomiska åtaganden. Detta följer av ändring i årsredovisningslagen. </w:t>
      </w:r>
    </w:p>
    <w:p w14:paraId="040D098D" w14:textId="77777777" w:rsidR="00E43055" w:rsidRDefault="00000000">
      <w:pPr>
        <w:spacing w:after="47" w:line="259" w:lineRule="auto"/>
        <w:ind w:left="0" w:firstLine="0"/>
      </w:pPr>
      <w:r>
        <w:rPr>
          <w:rFonts w:ascii="Arial" w:eastAsia="Arial" w:hAnsi="Arial" w:cs="Arial"/>
          <w:b/>
          <w:color w:val="003366"/>
          <w:sz w:val="16"/>
        </w:rPr>
        <w:t>HSB RIKSFÖRBUND</w:t>
      </w:r>
      <w:r>
        <w:rPr>
          <w:rFonts w:ascii="Arial" w:eastAsia="Arial" w:hAnsi="Arial" w:cs="Arial"/>
          <w:b/>
          <w:sz w:val="16"/>
        </w:rPr>
        <w:t xml:space="preserve"> </w:t>
      </w:r>
    </w:p>
    <w:p w14:paraId="03341FC6" w14:textId="77777777" w:rsidR="00E43055" w:rsidRDefault="00000000">
      <w:pPr>
        <w:spacing w:after="11" w:line="259" w:lineRule="auto"/>
        <w:ind w:left="0" w:firstLine="0"/>
      </w:pPr>
      <w:r>
        <w:rPr>
          <w:rFonts w:ascii="Arial" w:eastAsia="Arial" w:hAnsi="Arial" w:cs="Arial"/>
          <w:sz w:val="15"/>
        </w:rPr>
        <w:t>Postadress: Box 8310, 104 20 Stockholm, Vxl: 010-442 03 00</w:t>
      </w:r>
      <w:hyperlink r:id="rId5">
        <w:r w:rsidR="00E43055">
          <w:rPr>
            <w:rFonts w:ascii="Arial" w:eastAsia="Arial" w:hAnsi="Arial" w:cs="Arial"/>
            <w:sz w:val="15"/>
          </w:rPr>
          <w:t xml:space="preserve">, </w:t>
        </w:r>
      </w:hyperlink>
      <w:hyperlink r:id="rId6">
        <w:r w:rsidR="00E43055">
          <w:rPr>
            <w:rFonts w:ascii="Arial" w:eastAsia="Arial" w:hAnsi="Arial" w:cs="Arial"/>
            <w:color w:val="0000FF"/>
            <w:sz w:val="15"/>
            <w:u w:val="single" w:color="0000FF"/>
          </w:rPr>
          <w:t>www.hsb.se</w:t>
        </w:r>
      </w:hyperlink>
      <w:hyperlink r:id="rId7">
        <w:r w:rsidR="00E43055">
          <w:rPr>
            <w:rFonts w:ascii="Arial" w:eastAsia="Arial" w:hAnsi="Arial" w:cs="Arial"/>
            <w:sz w:val="15"/>
          </w:rPr>
          <w:t xml:space="preserve"> </w:t>
        </w:r>
      </w:hyperlink>
    </w:p>
    <w:p w14:paraId="01B38F3A" w14:textId="77777777" w:rsidR="00E43055" w:rsidRDefault="00000000">
      <w:pPr>
        <w:spacing w:after="0" w:line="259" w:lineRule="auto"/>
        <w:ind w:left="0" w:firstLine="0"/>
      </w:pPr>
      <w:r>
        <w:rPr>
          <w:rFonts w:ascii="Arial" w:eastAsia="Arial" w:hAnsi="Arial" w:cs="Arial"/>
          <w:sz w:val="15"/>
        </w:rPr>
        <w:lastRenderedPageBreak/>
        <w:t xml:space="preserve"> </w:t>
      </w:r>
    </w:p>
    <w:p w14:paraId="608A6290" w14:textId="77777777" w:rsidR="00E43055" w:rsidRDefault="00000000">
      <w:pPr>
        <w:spacing w:after="0" w:line="259" w:lineRule="auto"/>
        <w:ind w:left="720" w:firstLine="0"/>
      </w:pPr>
      <w:r>
        <w:t xml:space="preserve"> </w:t>
      </w:r>
    </w:p>
    <w:p w14:paraId="37F40B85" w14:textId="77777777" w:rsidR="00E43055" w:rsidRDefault="00000000">
      <w:pPr>
        <w:spacing w:after="15" w:line="259" w:lineRule="auto"/>
        <w:ind w:left="720" w:firstLine="0"/>
      </w:pPr>
      <w:r>
        <w:t xml:space="preserve"> </w:t>
      </w:r>
    </w:p>
    <w:p w14:paraId="286ABE04" w14:textId="77777777" w:rsidR="00E43055" w:rsidRDefault="00000000">
      <w:pPr>
        <w:pStyle w:val="Rubrik2"/>
        <w:tabs>
          <w:tab w:val="center" w:pos="411"/>
          <w:tab w:val="center" w:pos="1326"/>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31 och § 32</w:t>
      </w:r>
      <w:r>
        <w:rPr>
          <w:b w:val="0"/>
          <w:color w:val="000000"/>
        </w:rPr>
        <w:t xml:space="preserve">  </w:t>
      </w:r>
    </w:p>
    <w:p w14:paraId="22086AFC" w14:textId="77777777" w:rsidR="00E43055" w:rsidRDefault="00000000">
      <w:pPr>
        <w:spacing w:after="164"/>
        <w:ind w:left="715"/>
      </w:pPr>
      <w:r>
        <w:t xml:space="preserve">Underhålls- och reparationsansvaret för radiatorer har ändrats. Ansvaret för elradiatorer, </w:t>
      </w:r>
      <w:proofErr w:type="spellStart"/>
      <w:r>
        <w:t>elburen</w:t>
      </w:r>
      <w:proofErr w:type="spellEnd"/>
      <w:r>
        <w:t xml:space="preserve"> golvvärme och </w:t>
      </w:r>
      <w:proofErr w:type="spellStart"/>
      <w:r>
        <w:t>elburen</w:t>
      </w:r>
      <w:proofErr w:type="spellEnd"/>
      <w:r>
        <w:t xml:space="preserve"> handdukstork har lagts på bostadsrättshavaren. Bostadsrättsföreningen ansvarar för vattenburna radiatorer, vattenburen golvvärme, vattenburen handdukstork och värmeledningar i lägenheten som bostadsrättsföreningen försett lägenheten med. </w:t>
      </w:r>
    </w:p>
    <w:p w14:paraId="37FCFC9F" w14:textId="77777777" w:rsidR="00E43055" w:rsidRDefault="00000000">
      <w:pPr>
        <w:spacing w:after="2" w:line="259" w:lineRule="auto"/>
        <w:ind w:left="0" w:firstLine="0"/>
      </w:pPr>
      <w:r>
        <w:t xml:space="preserve"> </w:t>
      </w:r>
    </w:p>
    <w:p w14:paraId="7F7426A4"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36</w:t>
      </w:r>
      <w:r>
        <w:rPr>
          <w:b w:val="0"/>
          <w:color w:val="000000"/>
        </w:rPr>
        <w:t xml:space="preserve">  </w:t>
      </w:r>
    </w:p>
    <w:p w14:paraId="25FB5B57" w14:textId="77777777" w:rsidR="00E43055" w:rsidRDefault="00000000">
      <w:pPr>
        <w:spacing w:after="164"/>
        <w:ind w:left="715"/>
      </w:pPr>
      <w:r>
        <w:t xml:space="preserve">Regleringen kring föreningens rätt att avhjälpa brist i lägenhet har ändrats genom ett tillägg beträffande situationer då bostadsrättshavaren utför åtgärder i strid med § 37. Detta följer av ändring i bostadsrättslagen. </w:t>
      </w:r>
    </w:p>
    <w:p w14:paraId="36EBD287" w14:textId="77777777" w:rsidR="00E43055" w:rsidRDefault="00000000">
      <w:pPr>
        <w:spacing w:line="259" w:lineRule="auto"/>
        <w:ind w:left="0" w:firstLine="0"/>
      </w:pPr>
      <w:r>
        <w:t xml:space="preserve"> </w:t>
      </w:r>
    </w:p>
    <w:p w14:paraId="0FF8482F"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xml:space="preserve">§ 37 </w:t>
      </w:r>
      <w:r>
        <w:rPr>
          <w:b w:val="0"/>
          <w:color w:val="000000"/>
        </w:rPr>
        <w:t xml:space="preserve"> </w:t>
      </w:r>
    </w:p>
    <w:p w14:paraId="42F5DCF6" w14:textId="77777777" w:rsidR="00E43055" w:rsidRDefault="00000000">
      <w:pPr>
        <w:ind w:left="715"/>
      </w:pPr>
      <w:r>
        <w:t xml:space="preserve">Det har lagts till ytterligare två situationer beträffande åtgärder i lägenheten vilka kräver föreningens tillstånd. Därutöver har det införts ett helt nytt stycke gällande särskilda historiska, kulturhistoriska, miljömässiga eller konstnärliga värden och kravet på tillstånd om ett sådant värde påverkas. En formulering har lagts till innebärande att en bostadsrättshavaren som är missnöjd med styrelsens beslut kan vända sig till hyresnämnden. Dessa ändringar följer av ändring i bostadsrättslagen. </w:t>
      </w:r>
    </w:p>
    <w:p w14:paraId="6D2A9172" w14:textId="77777777" w:rsidR="00E43055" w:rsidRDefault="00000000">
      <w:pPr>
        <w:spacing w:after="19" w:line="259" w:lineRule="auto"/>
        <w:ind w:left="720" w:firstLine="0"/>
      </w:pPr>
      <w:r>
        <w:t xml:space="preserve"> </w:t>
      </w:r>
    </w:p>
    <w:p w14:paraId="151AB894" w14:textId="77777777" w:rsidR="00E43055" w:rsidRDefault="00000000">
      <w:pPr>
        <w:pStyle w:val="Rubrik2"/>
        <w:tabs>
          <w:tab w:val="center" w:pos="411"/>
          <w:tab w:val="center" w:pos="913"/>
        </w:tabs>
        <w:ind w:left="0" w:firstLine="0"/>
      </w:pPr>
      <w:r>
        <w:rPr>
          <w:rFonts w:ascii="Calibri" w:eastAsia="Calibri" w:hAnsi="Calibri" w:cs="Calibri"/>
          <w:b w:val="0"/>
          <w:color w:val="000000"/>
        </w:rPr>
        <w:tab/>
      </w:r>
      <w:r>
        <w:rPr>
          <w:rFonts w:ascii="Segoe UI Symbol" w:eastAsia="Segoe UI Symbol" w:hAnsi="Segoe UI Symbol" w:cs="Segoe UI Symbol"/>
          <w:b w:val="0"/>
          <w:color w:val="FFC000"/>
        </w:rPr>
        <w:t>•</w:t>
      </w:r>
      <w:r>
        <w:rPr>
          <w:rFonts w:ascii="Arial" w:eastAsia="Arial" w:hAnsi="Arial" w:cs="Arial"/>
          <w:b w:val="0"/>
          <w:color w:val="FFC000"/>
        </w:rPr>
        <w:t xml:space="preserve"> </w:t>
      </w:r>
      <w:r>
        <w:rPr>
          <w:rFonts w:ascii="Arial" w:eastAsia="Arial" w:hAnsi="Arial" w:cs="Arial"/>
          <w:b w:val="0"/>
          <w:color w:val="FFC000"/>
        </w:rPr>
        <w:tab/>
      </w:r>
      <w:r>
        <w:t>§ 44</w:t>
      </w:r>
      <w:r>
        <w:rPr>
          <w:b w:val="0"/>
          <w:color w:val="000000"/>
        </w:rPr>
        <w:t xml:space="preserve">  </w:t>
      </w:r>
    </w:p>
    <w:p w14:paraId="3D27CA7A" w14:textId="77777777" w:rsidR="00E43055" w:rsidRDefault="00000000">
      <w:pPr>
        <w:spacing w:after="167"/>
        <w:ind w:left="715"/>
      </w:pPr>
      <w:r>
        <w:t xml:space="preserve">En skrivning har införts kring en ny förverkandegrund gällande situationen då en bostadsrättshavare gör ingrepp i lägenheten utan behövligt tillstånd. Detta följer av ändring i bostadsrättslagen. </w:t>
      </w:r>
    </w:p>
    <w:p w14:paraId="3A8F7373" w14:textId="77777777" w:rsidR="00E43055" w:rsidRDefault="00000000">
      <w:pPr>
        <w:spacing w:after="0" w:line="259" w:lineRule="auto"/>
        <w:ind w:left="0" w:firstLine="0"/>
      </w:pPr>
      <w:r>
        <w:t xml:space="preserve"> </w:t>
      </w:r>
    </w:p>
    <w:p w14:paraId="2C4CE768" w14:textId="77777777" w:rsidR="00E43055" w:rsidRDefault="00000000">
      <w:pPr>
        <w:spacing w:after="0" w:line="259" w:lineRule="auto"/>
        <w:ind w:left="0" w:firstLine="0"/>
      </w:pPr>
      <w:r>
        <w:t xml:space="preserve"> </w:t>
      </w:r>
    </w:p>
    <w:p w14:paraId="1D565873" w14:textId="77777777" w:rsidR="00E43055" w:rsidRDefault="00000000">
      <w:pPr>
        <w:spacing w:after="0" w:line="259" w:lineRule="auto"/>
        <w:ind w:left="0" w:firstLine="0"/>
      </w:pPr>
      <w:r>
        <w:t xml:space="preserve"> </w:t>
      </w:r>
    </w:p>
    <w:p w14:paraId="148BFB30" w14:textId="77777777" w:rsidR="00E43055" w:rsidRDefault="00000000">
      <w:pPr>
        <w:spacing w:after="0" w:line="259" w:lineRule="auto"/>
        <w:ind w:left="0" w:firstLine="0"/>
      </w:pPr>
      <w:r>
        <w:t xml:space="preserve"> </w:t>
      </w:r>
    </w:p>
    <w:p w14:paraId="593017E2" w14:textId="77777777" w:rsidR="00E43055" w:rsidRDefault="00000000">
      <w:pPr>
        <w:spacing w:after="0" w:line="259" w:lineRule="auto"/>
        <w:ind w:left="0" w:firstLine="0"/>
      </w:pPr>
      <w:r>
        <w:t xml:space="preserve"> </w:t>
      </w:r>
    </w:p>
    <w:sectPr w:rsidR="00E43055">
      <w:pgSz w:w="11906" w:h="16838"/>
      <w:pgMar w:top="577" w:right="1719" w:bottom="29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55"/>
    <w:rsid w:val="00452A38"/>
    <w:rsid w:val="00895ADD"/>
    <w:rsid w:val="008F76C3"/>
    <w:rsid w:val="00E43055"/>
    <w:rsid w:val="00FE38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0123"/>
  <w15:docId w15:val="{42A09715-83D0-477B-B03B-BF74DD53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6" w:lineRule="auto"/>
      <w:ind w:left="10" w:hanging="10"/>
    </w:pPr>
    <w:rPr>
      <w:rFonts w:ascii="Times New Roman" w:eastAsia="Times New Roman" w:hAnsi="Times New Roman" w:cs="Times New Roman"/>
      <w:color w:val="000000"/>
      <w:sz w:val="22"/>
    </w:rPr>
  </w:style>
  <w:style w:type="paragraph" w:styleId="Rubrik1">
    <w:name w:val="heading 1"/>
    <w:next w:val="Normal"/>
    <w:link w:val="Rubrik1Char"/>
    <w:uiPriority w:val="9"/>
    <w:qFormat/>
    <w:pPr>
      <w:keepNext/>
      <w:keepLines/>
      <w:spacing w:after="617" w:line="240" w:lineRule="auto"/>
      <w:outlineLvl w:val="0"/>
    </w:pPr>
    <w:rPr>
      <w:rFonts w:ascii="Arial" w:eastAsia="Arial" w:hAnsi="Arial" w:cs="Arial"/>
      <w:b/>
      <w:color w:val="003366"/>
      <w:sz w:val="34"/>
    </w:rPr>
  </w:style>
  <w:style w:type="paragraph" w:styleId="Rubrik2">
    <w:name w:val="heading 2"/>
    <w:next w:val="Normal"/>
    <w:link w:val="Rubrik2Char"/>
    <w:uiPriority w:val="9"/>
    <w:unhideWhenUsed/>
    <w:qFormat/>
    <w:pPr>
      <w:keepNext/>
      <w:keepLines/>
      <w:spacing w:after="0" w:line="259" w:lineRule="auto"/>
      <w:ind w:left="370" w:hanging="10"/>
      <w:outlineLvl w:val="1"/>
    </w:pPr>
    <w:rPr>
      <w:rFonts w:ascii="Times New Roman" w:eastAsia="Times New Roman" w:hAnsi="Times New Roman" w:cs="Times New Roman"/>
      <w:b/>
      <w:color w:val="003366"/>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Times New Roman" w:eastAsia="Times New Roman" w:hAnsi="Times New Roman" w:cs="Times New Roman"/>
      <w:b/>
      <w:color w:val="003366"/>
      <w:sz w:val="22"/>
    </w:rPr>
  </w:style>
  <w:style w:type="character" w:customStyle="1" w:styleId="Rubrik1Char">
    <w:name w:val="Rubrik 1 Char"/>
    <w:link w:val="Rubrik1"/>
    <w:rPr>
      <w:rFonts w:ascii="Arial" w:eastAsia="Arial" w:hAnsi="Arial" w:cs="Arial"/>
      <w:b/>
      <w:color w:val="00336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sb.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sb.se/" TargetMode="External"/><Relationship Id="rId5" Type="http://schemas.openxmlformats.org/officeDocument/2006/relationships/hyperlink" Target="http://www.hsb.s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2928</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Rapport..docx</dc:title>
  <dc:subject/>
  <dc:creator>Eva Berg</dc:creator>
  <cp:keywords>Rapportmall - HSB</cp:keywords>
  <cp:lastModifiedBy>Claes Bidebo</cp:lastModifiedBy>
  <cp:revision>2</cp:revision>
  <dcterms:created xsi:type="dcterms:W3CDTF">2025-03-07T15:58:00Z</dcterms:created>
  <dcterms:modified xsi:type="dcterms:W3CDTF">2025-03-07T15:58:00Z</dcterms:modified>
</cp:coreProperties>
</file>