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Tilläggsavtal Bostadsrätt nr </w:t>
      </w:r>
      <w:r w:rsidDel="00000000" w:rsidR="00000000" w:rsidRPr="00000000">
        <w:rPr>
          <w:highlight w:val="yellow"/>
          <w:rtl w:val="0"/>
        </w:rPr>
        <w:t xml:space="preserve">X</w:t>
      </w:r>
      <w:r w:rsidDel="00000000" w:rsidR="00000000" w:rsidRPr="00000000">
        <w:rPr>
          <w:rtl w:val="0"/>
        </w:rPr>
        <w:t xml:space="preserve"> – upplåtelse samt ombyggnation </w:t>
      </w:r>
    </w:p>
    <w:p w:rsidR="00000000" w:rsidDel="00000000" w:rsidP="00000000" w:rsidRDefault="00000000" w:rsidRPr="00000000" w14:paraId="00000002">
      <w:pPr>
        <w:spacing w:after="240" w:before="240" w:line="360" w:lineRule="auto"/>
        <w:rPr>
          <w:sz w:val="22"/>
          <w:szCs w:val="22"/>
        </w:rPr>
      </w:pPr>
      <w:r w:rsidDel="00000000" w:rsidR="00000000" w:rsidRPr="00000000">
        <w:rPr>
          <w:sz w:val="22"/>
          <w:szCs w:val="22"/>
          <w:rtl w:val="0"/>
        </w:rPr>
        <w:t xml:space="preserve">Mellan å ena sidan Bostadsrättsföreningen HSB Brf Bronskatten i Farsta (org. nr 769601-8055) (nedan ”Föreningen") och å andra sidan </w:t>
      </w:r>
      <w:r w:rsidDel="00000000" w:rsidR="00000000" w:rsidRPr="00000000">
        <w:rPr>
          <w:sz w:val="22"/>
          <w:szCs w:val="22"/>
          <w:highlight w:val="yellow"/>
          <w:rtl w:val="0"/>
        </w:rPr>
        <w:t xml:space="preserve">[Namn] (personnummer XXXXXX-XXXX)</w:t>
      </w:r>
      <w:r w:rsidDel="00000000" w:rsidR="00000000" w:rsidRPr="00000000">
        <w:rPr>
          <w:sz w:val="22"/>
          <w:szCs w:val="22"/>
          <w:rtl w:val="0"/>
        </w:rPr>
        <w:t xml:space="preserve"> och </w:t>
      </w:r>
      <w:r w:rsidDel="00000000" w:rsidR="00000000" w:rsidRPr="00000000">
        <w:rPr>
          <w:sz w:val="22"/>
          <w:szCs w:val="22"/>
          <w:highlight w:val="yellow"/>
          <w:rtl w:val="0"/>
        </w:rPr>
        <w:t xml:space="preserve">[Namn] (personnummer XXXXXX-XXXX)</w:t>
      </w:r>
      <w:r w:rsidDel="00000000" w:rsidR="00000000" w:rsidRPr="00000000">
        <w:rPr>
          <w:sz w:val="22"/>
          <w:szCs w:val="22"/>
          <w:rtl w:val="0"/>
        </w:rPr>
        <w:t xml:space="preserve"> (nedan gemensamt ”Bostadrättshavarna”) har denna dag ingåtts följande avtal avseende tilläggsupplåtelse av bostadsrätt.</w:t>
      </w:r>
    </w:p>
    <w:p w:rsidR="00000000" w:rsidDel="00000000" w:rsidP="00000000" w:rsidRDefault="00000000" w:rsidRPr="00000000" w14:paraId="00000003">
      <w:pPr>
        <w:keepNext w:val="1"/>
        <w:keepLines w:val="1"/>
        <w:numPr>
          <w:ilvl w:val="0"/>
          <w:numId w:val="1"/>
        </w:numPr>
        <w:spacing w:after="240" w:before="240" w:line="360" w:lineRule="auto"/>
        <w:ind w:left="714" w:hanging="357"/>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Bakgrund</w:t>
      </w:r>
    </w:p>
    <w:p w:rsidR="00000000" w:rsidDel="00000000" w:rsidP="00000000" w:rsidRDefault="00000000" w:rsidRPr="00000000" w14:paraId="00000004">
      <w:pPr>
        <w:spacing w:after="240" w:before="240" w:line="360" w:lineRule="auto"/>
        <w:rPr>
          <w:sz w:val="22"/>
          <w:szCs w:val="22"/>
        </w:rPr>
      </w:pPr>
      <w:bookmarkStart w:colFirst="0" w:colLast="0" w:name="_k0lglb1iyft" w:id="0"/>
      <w:bookmarkEnd w:id="0"/>
      <w:r w:rsidDel="00000000" w:rsidR="00000000" w:rsidRPr="00000000">
        <w:rPr>
          <w:sz w:val="22"/>
          <w:szCs w:val="22"/>
          <w:rtl w:val="0"/>
        </w:rPr>
        <w:t xml:space="preserve">Bostadsrättshavarna är innehavare till bostadsrätt nr </w:t>
      </w:r>
      <w:r w:rsidDel="00000000" w:rsidR="00000000" w:rsidRPr="00000000">
        <w:rPr>
          <w:sz w:val="22"/>
          <w:szCs w:val="22"/>
          <w:highlight w:val="yellow"/>
          <w:rtl w:val="0"/>
        </w:rPr>
        <w:t xml:space="preserve">[X]</w:t>
      </w:r>
      <w:r w:rsidDel="00000000" w:rsidR="00000000" w:rsidRPr="00000000">
        <w:rPr>
          <w:sz w:val="22"/>
          <w:szCs w:val="22"/>
          <w:rtl w:val="0"/>
        </w:rPr>
        <w:t xml:space="preserve"> om ca </w:t>
      </w:r>
      <w:r w:rsidDel="00000000" w:rsidR="00000000" w:rsidRPr="00000000">
        <w:rPr>
          <w:sz w:val="22"/>
          <w:szCs w:val="22"/>
          <w:highlight w:val="yellow"/>
          <w:rtl w:val="0"/>
        </w:rPr>
        <w:t xml:space="preserve">[X]</w:t>
      </w:r>
      <w:r w:rsidDel="00000000" w:rsidR="00000000" w:rsidRPr="00000000">
        <w:rPr>
          <w:sz w:val="22"/>
          <w:szCs w:val="22"/>
          <w:rtl w:val="0"/>
        </w:rPr>
        <w:t xml:space="preserve"> kvm i Föreningens fastighet </w:t>
      </w:r>
      <w:r w:rsidDel="00000000" w:rsidR="00000000" w:rsidRPr="00000000">
        <w:rPr>
          <w:sz w:val="22"/>
          <w:szCs w:val="22"/>
          <w:highlight w:val="yellow"/>
          <w:rtl w:val="0"/>
        </w:rPr>
        <w:t xml:space="preserve">[Fastighet]</w:t>
      </w:r>
      <w:r w:rsidDel="00000000" w:rsidR="00000000" w:rsidRPr="00000000">
        <w:rPr>
          <w:sz w:val="22"/>
          <w:szCs w:val="22"/>
          <w:rtl w:val="0"/>
        </w:rPr>
        <w:t xml:space="preserve"> med adress [</w:t>
      </w:r>
      <w:r w:rsidDel="00000000" w:rsidR="00000000" w:rsidRPr="00000000">
        <w:rPr>
          <w:sz w:val="22"/>
          <w:szCs w:val="22"/>
          <w:highlight w:val="yellow"/>
          <w:rtl w:val="0"/>
        </w:rPr>
        <w:t xml:space="preserve">adress</w:t>
      </w:r>
      <w:r w:rsidDel="00000000" w:rsidR="00000000" w:rsidRPr="00000000">
        <w:rPr>
          <w:sz w:val="22"/>
          <w:szCs w:val="22"/>
          <w:rtl w:val="0"/>
        </w:rPr>
        <w:t xml:space="preserve">] (Skatteverkets lägenhetsnr [</w:t>
      </w:r>
      <w:r w:rsidDel="00000000" w:rsidR="00000000" w:rsidRPr="00000000">
        <w:rPr>
          <w:sz w:val="22"/>
          <w:szCs w:val="22"/>
          <w:highlight w:val="yellow"/>
          <w:rtl w:val="0"/>
        </w:rPr>
        <w:t xml:space="preserve">X</w:t>
      </w:r>
      <w:r w:rsidDel="00000000" w:rsidR="00000000" w:rsidRPr="00000000">
        <w:rPr>
          <w:sz w:val="22"/>
          <w:szCs w:val="22"/>
          <w:rtl w:val="0"/>
        </w:rPr>
        <w:t xml:space="preserve">]) (nedan "Lägenheten").</w:t>
      </w:r>
    </w:p>
    <w:p w:rsidR="00000000" w:rsidDel="00000000" w:rsidP="00000000" w:rsidRDefault="00000000" w:rsidRPr="00000000" w14:paraId="00000005">
      <w:pPr>
        <w:spacing w:after="240" w:before="240" w:line="360" w:lineRule="auto"/>
        <w:rPr>
          <w:sz w:val="22"/>
          <w:szCs w:val="22"/>
        </w:rPr>
      </w:pPr>
      <w:r w:rsidDel="00000000" w:rsidR="00000000" w:rsidRPr="00000000">
        <w:rPr>
          <w:sz w:val="22"/>
          <w:szCs w:val="22"/>
          <w:rtl w:val="0"/>
        </w:rPr>
        <w:t xml:space="preserve">I syfte att skapa en större lägenhet ska Bostadsrättshavarna införliva en angränsande yta till Lägenheten. </w:t>
      </w:r>
    </w:p>
    <w:p w:rsidR="00000000" w:rsidDel="00000000" w:rsidP="00000000" w:rsidRDefault="00000000" w:rsidRPr="00000000" w14:paraId="00000006">
      <w:pPr>
        <w:keepNext w:val="1"/>
        <w:keepLines w:val="1"/>
        <w:numPr>
          <w:ilvl w:val="0"/>
          <w:numId w:val="1"/>
        </w:numPr>
        <w:spacing w:after="240" w:before="240" w:line="360" w:lineRule="auto"/>
        <w:ind w:left="714" w:hanging="357"/>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Tillkommande yta </w:t>
      </w:r>
    </w:p>
    <w:p w:rsidR="00000000" w:rsidDel="00000000" w:rsidP="00000000" w:rsidRDefault="00000000" w:rsidRPr="00000000" w14:paraId="00000007">
      <w:pPr>
        <w:spacing w:after="240" w:before="240" w:line="360" w:lineRule="auto"/>
        <w:rPr>
          <w:sz w:val="22"/>
          <w:szCs w:val="22"/>
        </w:rPr>
      </w:pPr>
      <w:r w:rsidDel="00000000" w:rsidR="00000000" w:rsidRPr="00000000">
        <w:rPr>
          <w:sz w:val="22"/>
          <w:szCs w:val="22"/>
          <w:rtl w:val="0"/>
        </w:rPr>
        <w:t xml:space="preserve">Tilläggsupplåtelsen avser ca </w:t>
      </w:r>
      <w:r w:rsidDel="00000000" w:rsidR="00000000" w:rsidRPr="00000000">
        <w:rPr>
          <w:sz w:val="22"/>
          <w:szCs w:val="22"/>
          <w:highlight w:val="yellow"/>
          <w:rtl w:val="0"/>
        </w:rPr>
        <w:t xml:space="preserve">[X]</w:t>
      </w:r>
      <w:r w:rsidDel="00000000" w:rsidR="00000000" w:rsidRPr="00000000">
        <w:rPr>
          <w:sz w:val="22"/>
          <w:szCs w:val="22"/>
          <w:rtl w:val="0"/>
        </w:rPr>
        <w:t xml:space="preserve"> kvm (nedan den Tillkommande ytan) som idag utgör vindsyta ovanför Lägenheten.</w:t>
      </w:r>
    </w:p>
    <w:p w:rsidR="00000000" w:rsidDel="00000000" w:rsidP="00000000" w:rsidRDefault="00000000" w:rsidRPr="00000000" w14:paraId="00000008">
      <w:pPr>
        <w:keepNext w:val="1"/>
        <w:keepLines w:val="1"/>
        <w:numPr>
          <w:ilvl w:val="0"/>
          <w:numId w:val="1"/>
        </w:numPr>
        <w:spacing w:after="240" w:before="240" w:line="360" w:lineRule="auto"/>
        <w:ind w:left="720" w:hanging="360"/>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Tillträdesdag </w:t>
      </w:r>
    </w:p>
    <w:p w:rsidR="00000000" w:rsidDel="00000000" w:rsidP="00000000" w:rsidRDefault="00000000" w:rsidRPr="00000000" w14:paraId="00000009">
      <w:pPr>
        <w:spacing w:after="240" w:before="240" w:line="360" w:lineRule="auto"/>
        <w:rPr>
          <w:sz w:val="22"/>
          <w:szCs w:val="22"/>
        </w:rPr>
      </w:pPr>
      <w:r w:rsidDel="00000000" w:rsidR="00000000" w:rsidRPr="00000000">
        <w:rPr>
          <w:sz w:val="22"/>
          <w:szCs w:val="22"/>
          <w:rtl w:val="0"/>
        </w:rPr>
        <w:t xml:space="preserve">Bostadrättshavarna tillträder den Tillkommande ytan vid detta avtals tecknande. </w:t>
      </w:r>
    </w:p>
    <w:p w:rsidR="00000000" w:rsidDel="00000000" w:rsidP="00000000" w:rsidRDefault="00000000" w:rsidRPr="00000000" w14:paraId="0000000A">
      <w:pPr>
        <w:keepNext w:val="1"/>
        <w:keepLines w:val="1"/>
        <w:numPr>
          <w:ilvl w:val="0"/>
          <w:numId w:val="1"/>
        </w:numPr>
        <w:spacing w:after="240" w:before="240" w:line="360" w:lineRule="auto"/>
        <w:ind w:left="720" w:hanging="360"/>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Insats och upplåtelseavgift</w:t>
      </w:r>
    </w:p>
    <w:p w:rsidR="00000000" w:rsidDel="00000000" w:rsidP="00000000" w:rsidRDefault="00000000" w:rsidRPr="00000000" w14:paraId="0000000B">
      <w:pPr>
        <w:spacing w:after="240" w:before="240" w:line="360" w:lineRule="auto"/>
        <w:rPr>
          <w:sz w:val="22"/>
          <w:szCs w:val="22"/>
        </w:rPr>
      </w:pPr>
      <w:r w:rsidDel="00000000" w:rsidR="00000000" w:rsidRPr="00000000">
        <w:rPr>
          <w:sz w:val="22"/>
          <w:szCs w:val="22"/>
          <w:rtl w:val="0"/>
        </w:rPr>
        <w:t xml:space="preserve">Bostadsrättshavarna ska inte erlägga någon betalning för den Tillkommande ytan.</w:t>
      </w:r>
    </w:p>
    <w:p w:rsidR="00000000" w:rsidDel="00000000" w:rsidP="00000000" w:rsidRDefault="00000000" w:rsidRPr="00000000" w14:paraId="0000000C">
      <w:pPr>
        <w:keepNext w:val="1"/>
        <w:keepLines w:val="1"/>
        <w:numPr>
          <w:ilvl w:val="0"/>
          <w:numId w:val="1"/>
        </w:numPr>
        <w:spacing w:after="240" w:before="240" w:line="360" w:lineRule="auto"/>
        <w:ind w:left="720" w:hanging="360"/>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Årsavgift</w:t>
      </w:r>
    </w:p>
    <w:p w:rsidR="00000000" w:rsidDel="00000000" w:rsidP="00000000" w:rsidRDefault="00000000" w:rsidRPr="00000000" w14:paraId="0000000D">
      <w:pPr>
        <w:spacing w:after="240" w:before="240" w:line="360" w:lineRule="auto"/>
        <w:rPr>
          <w:sz w:val="22"/>
          <w:szCs w:val="22"/>
        </w:rPr>
      </w:pPr>
      <w:r w:rsidDel="00000000" w:rsidR="00000000" w:rsidRPr="00000000">
        <w:rPr>
          <w:sz w:val="22"/>
          <w:szCs w:val="22"/>
          <w:rtl w:val="0"/>
        </w:rPr>
        <w:t xml:space="preserve">Den Tillkommande ytan medför inte en höjning av Lägenhetens andelstal.</w:t>
      </w:r>
    </w:p>
    <w:p w:rsidR="00000000" w:rsidDel="00000000" w:rsidP="00000000" w:rsidRDefault="00000000" w:rsidRPr="00000000" w14:paraId="0000000E">
      <w:pPr>
        <w:spacing w:after="240" w:before="240" w:line="360" w:lineRule="auto"/>
        <w:rPr>
          <w:sz w:val="22"/>
          <w:szCs w:val="22"/>
        </w:rPr>
      </w:pPr>
      <w:r w:rsidDel="00000000" w:rsidR="00000000" w:rsidRPr="00000000">
        <w:rPr>
          <w:sz w:val="22"/>
          <w:szCs w:val="22"/>
          <w:rtl w:val="0"/>
        </w:rPr>
        <w:t xml:space="preserve">Bostadrättshavarna är medvetna om att årsavgiften förändras med förändringar i Föreningens kostnader och intäkter. Förändring av årsavgiften sker i enlighet med Föreningens stadgar.</w:t>
      </w:r>
    </w:p>
    <w:p w:rsidR="00000000" w:rsidDel="00000000" w:rsidP="00000000" w:rsidRDefault="00000000" w:rsidRPr="00000000" w14:paraId="0000000F">
      <w:pPr>
        <w:keepNext w:val="1"/>
        <w:keepLines w:val="1"/>
        <w:numPr>
          <w:ilvl w:val="0"/>
          <w:numId w:val="1"/>
        </w:numPr>
        <w:spacing w:after="240" w:before="240" w:line="360" w:lineRule="auto"/>
        <w:ind w:left="720" w:hanging="360"/>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Ombyggnation</w:t>
      </w:r>
    </w:p>
    <w:p w:rsidR="00000000" w:rsidDel="00000000" w:rsidP="00000000" w:rsidRDefault="00000000" w:rsidRPr="00000000" w14:paraId="00000010">
      <w:pPr>
        <w:spacing w:after="240" w:before="240" w:line="360" w:lineRule="auto"/>
        <w:rPr>
          <w:sz w:val="22"/>
          <w:szCs w:val="22"/>
        </w:rPr>
      </w:pPr>
      <w:r w:rsidDel="00000000" w:rsidR="00000000" w:rsidRPr="00000000">
        <w:rPr>
          <w:sz w:val="22"/>
          <w:szCs w:val="22"/>
          <w:rtl w:val="0"/>
        </w:rPr>
        <w:t xml:space="preserve">Bostadrättshavarna ansvarar för och bekostar byggnationen av den Tillkommande ytan. Ombyggnationen ska ske enligt av Föreningen skriftligen godkända ritningar. Bostadrättshavarna svarar för och bekostar alla byggnationsåtgärder, besiktningar och myndighetstillstånd och myndighetskontakter som kan fordras. Bostadsrättshavaren är ansvarig för skada som Föreningen orsakas med anledning av ombyggnationen.</w:t>
      </w:r>
    </w:p>
    <w:p w:rsidR="00000000" w:rsidDel="00000000" w:rsidP="00000000" w:rsidRDefault="00000000" w:rsidRPr="00000000" w14:paraId="00000011">
      <w:pPr>
        <w:spacing w:after="240" w:before="240" w:line="360" w:lineRule="auto"/>
        <w:rPr>
          <w:sz w:val="22"/>
          <w:szCs w:val="22"/>
        </w:rPr>
      </w:pPr>
      <w:r w:rsidDel="00000000" w:rsidR="00000000" w:rsidRPr="00000000">
        <w:rPr>
          <w:sz w:val="22"/>
          <w:szCs w:val="22"/>
          <w:rtl w:val="0"/>
        </w:rPr>
        <w:t xml:space="preserve">Alla byggnationsarbeten ska utföras fackmässigt och i enlighet med Boverkets bygg- och konstruktionsregler. Bostadsrättshavarna ska därutöver följa de krav som Föreningen har ställt avseende hur ombyggnationen ska utföras. Gällande AMA-föreskrifter utgör miniminormer för material och utförande. </w:t>
      </w:r>
    </w:p>
    <w:p w:rsidR="00000000" w:rsidDel="00000000" w:rsidP="00000000" w:rsidRDefault="00000000" w:rsidRPr="00000000" w14:paraId="00000012">
      <w:pPr>
        <w:spacing w:after="240" w:before="240" w:line="360" w:lineRule="auto"/>
        <w:rPr>
          <w:sz w:val="22"/>
          <w:szCs w:val="22"/>
        </w:rPr>
      </w:pPr>
      <w:r w:rsidDel="00000000" w:rsidR="00000000" w:rsidRPr="00000000">
        <w:rPr>
          <w:sz w:val="22"/>
          <w:szCs w:val="22"/>
          <w:rtl w:val="0"/>
        </w:rPr>
        <w:t xml:space="preserve">Vinden får maximalt innehålla en kupa på var sida och ska utföras i samma stil och storlek som tidigare kupor. Kupor ska i första hand placeras i samma läge som tidigare kupor. Undantag kan dock godkännas av styrelsen om särskild anledning finns. Detta förutsätter att föreslagen placering ej medför </w:t>
      </w:r>
      <w:r w:rsidDel="00000000" w:rsidR="00000000" w:rsidRPr="00000000">
        <w:rPr>
          <w:sz w:val="22"/>
          <w:szCs w:val="22"/>
          <w:rtl w:val="0"/>
        </w:rPr>
        <w:t xml:space="preserve">ett </w:t>
      </w:r>
      <w:r w:rsidDel="00000000" w:rsidR="00000000" w:rsidRPr="00000000">
        <w:rPr>
          <w:sz w:val="22"/>
          <w:szCs w:val="22"/>
          <w:rtl w:val="0"/>
        </w:rPr>
        <w:t xml:space="preserve">oharmoniskt</w:t>
      </w:r>
      <w:r w:rsidDel="00000000" w:rsidR="00000000" w:rsidRPr="00000000">
        <w:rPr>
          <w:sz w:val="22"/>
          <w:szCs w:val="22"/>
          <w:rtl w:val="0"/>
        </w:rPr>
        <w:t xml:space="preserve"> uttryck genom </w:t>
      </w:r>
      <w:r w:rsidDel="00000000" w:rsidR="00000000" w:rsidRPr="00000000">
        <w:rPr>
          <w:sz w:val="22"/>
          <w:szCs w:val="22"/>
          <w:rtl w:val="0"/>
        </w:rPr>
        <w:t xml:space="preserve">att till exempel</w:t>
      </w:r>
      <w:r w:rsidDel="00000000" w:rsidR="00000000" w:rsidRPr="00000000">
        <w:rPr>
          <w:sz w:val="22"/>
          <w:szCs w:val="22"/>
          <w:rtl w:val="0"/>
        </w:rPr>
        <w:t xml:space="preserve"> hamna för nära husets gavel eller grannlägenhet. För de hus där </w:t>
      </w:r>
      <w:r w:rsidDel="00000000" w:rsidR="00000000" w:rsidRPr="00000000">
        <w:rPr>
          <w:sz w:val="22"/>
          <w:szCs w:val="22"/>
          <w:rtl w:val="0"/>
        </w:rPr>
        <w:t xml:space="preserve">taklucka</w:t>
      </w:r>
      <w:r w:rsidDel="00000000" w:rsidR="00000000" w:rsidRPr="00000000">
        <w:rPr>
          <w:sz w:val="22"/>
          <w:szCs w:val="22"/>
          <w:rtl w:val="0"/>
        </w:rPr>
        <w:t xml:space="preserve"> förekommer får </w:t>
      </w:r>
      <w:r w:rsidDel="00000000" w:rsidR="00000000" w:rsidRPr="00000000">
        <w:rPr>
          <w:sz w:val="22"/>
          <w:szCs w:val="22"/>
          <w:rtl w:val="0"/>
        </w:rPr>
        <w:t xml:space="preserve">byggnationen</w:t>
      </w:r>
      <w:r w:rsidDel="00000000" w:rsidR="00000000" w:rsidRPr="00000000">
        <w:rPr>
          <w:sz w:val="22"/>
          <w:szCs w:val="22"/>
          <w:rtl w:val="0"/>
        </w:rPr>
        <w:t xml:space="preserve"> inte medföra att luckan tas bort.</w:t>
      </w:r>
    </w:p>
    <w:p w:rsidR="00000000" w:rsidDel="00000000" w:rsidP="00000000" w:rsidRDefault="00000000" w:rsidRPr="00000000" w14:paraId="00000013">
      <w:pPr>
        <w:spacing w:after="240" w:before="240" w:line="360" w:lineRule="auto"/>
        <w:rPr>
          <w:sz w:val="22"/>
          <w:szCs w:val="22"/>
        </w:rPr>
      </w:pPr>
      <w:r w:rsidDel="00000000" w:rsidR="00000000" w:rsidRPr="00000000">
        <w:rPr>
          <w:sz w:val="22"/>
          <w:szCs w:val="22"/>
          <w:rtl w:val="0"/>
        </w:rPr>
        <w:t xml:space="preserve">Det får inte tillföras nya vatteninstallationer, till exempel badrum eller vattenburen värme i den tillkommande ytan.</w:t>
      </w:r>
      <w:r w:rsidDel="00000000" w:rsidR="00000000" w:rsidRPr="00000000">
        <w:rPr>
          <w:rtl w:val="0"/>
        </w:rPr>
      </w:r>
    </w:p>
    <w:p w:rsidR="00000000" w:rsidDel="00000000" w:rsidP="00000000" w:rsidRDefault="00000000" w:rsidRPr="00000000" w14:paraId="00000014">
      <w:pPr>
        <w:spacing w:after="240" w:before="240" w:line="360" w:lineRule="auto"/>
        <w:rPr>
          <w:sz w:val="22"/>
          <w:szCs w:val="22"/>
        </w:rPr>
      </w:pPr>
      <w:r w:rsidDel="00000000" w:rsidR="00000000" w:rsidRPr="00000000">
        <w:rPr>
          <w:sz w:val="22"/>
          <w:szCs w:val="22"/>
          <w:rtl w:val="0"/>
        </w:rPr>
        <w:t xml:space="preserve">Bostadsrättshavarna ska tillse att anlitade entreprenörer och konsulter tecknar försäkringar enligt tillämpliga standardavtal. Försäkringsvillkoren ska vara utformade i enlighet med branschpraxis. Bostadsrättshavarna har såväl byggherreansvaret för ombyggnationen som samordningsansvaret enligt arbetsmiljölagen. </w:t>
      </w:r>
    </w:p>
    <w:p w:rsidR="00000000" w:rsidDel="00000000" w:rsidP="00000000" w:rsidRDefault="00000000" w:rsidRPr="00000000" w14:paraId="00000015">
      <w:pPr>
        <w:spacing w:after="240" w:before="240" w:line="360" w:lineRule="auto"/>
        <w:rPr>
          <w:sz w:val="22"/>
          <w:szCs w:val="22"/>
        </w:rPr>
      </w:pPr>
      <w:r w:rsidDel="00000000" w:rsidR="00000000" w:rsidRPr="00000000">
        <w:rPr>
          <w:sz w:val="22"/>
          <w:szCs w:val="22"/>
          <w:rtl w:val="0"/>
        </w:rPr>
        <w:t xml:space="preserve">Under utförandet är det av största vikt att störningarna i området minimeras. Störande byggnadsarbeten ska därför utföras på vardagar kl 07.00 - 18.00 alternativt helger kl. 10.00 till 17.00. Föreningens tillstånd måste inhämtas för utförande av störande arbeten under annan tid, dock med undantag för begränsade arbeten av akut karaktär. </w:t>
      </w:r>
    </w:p>
    <w:p w:rsidR="00000000" w:rsidDel="00000000" w:rsidP="00000000" w:rsidRDefault="00000000" w:rsidRPr="00000000" w14:paraId="00000016">
      <w:pPr>
        <w:spacing w:after="240" w:before="240" w:line="360" w:lineRule="auto"/>
        <w:rPr>
          <w:sz w:val="22"/>
          <w:szCs w:val="22"/>
        </w:rPr>
      </w:pPr>
      <w:r w:rsidDel="00000000" w:rsidR="00000000" w:rsidRPr="00000000">
        <w:rPr>
          <w:sz w:val="22"/>
          <w:szCs w:val="22"/>
          <w:rtl w:val="0"/>
        </w:rPr>
        <w:t xml:space="preserve">Bostadsrättshavarna ska tillse att det inte står maskiner, skräp eller annat på gemensamma samt att de gemensamma utrymmena i övrigt hålls i fint skick. Städning ska ske dagligen. Avfall hänförligt till ombyggnationen ska tas omhand av Bostadsrättshavarna – dessa får ej slängas i Föreningens sopkärl. </w:t>
      </w:r>
    </w:p>
    <w:p w:rsidR="00000000" w:rsidDel="00000000" w:rsidP="00000000" w:rsidRDefault="00000000" w:rsidRPr="00000000" w14:paraId="00000017">
      <w:pPr>
        <w:spacing w:after="240" w:before="240" w:line="360" w:lineRule="auto"/>
        <w:rPr>
          <w:sz w:val="22"/>
          <w:szCs w:val="22"/>
        </w:rPr>
      </w:pPr>
      <w:r w:rsidDel="00000000" w:rsidR="00000000" w:rsidRPr="00000000">
        <w:rPr>
          <w:sz w:val="22"/>
          <w:szCs w:val="22"/>
          <w:rtl w:val="0"/>
        </w:rPr>
        <w:t xml:space="preserve">Bostadsrättshavarna har rätt att dra om/flytta befintliga ventilationskanaler under förutsättning att full funktion bibehålls. </w:t>
      </w:r>
    </w:p>
    <w:p w:rsidR="00000000" w:rsidDel="00000000" w:rsidP="00000000" w:rsidRDefault="00000000" w:rsidRPr="00000000" w14:paraId="00000018">
      <w:pPr>
        <w:spacing w:after="240" w:before="240" w:line="360" w:lineRule="auto"/>
        <w:rPr>
          <w:sz w:val="22"/>
          <w:szCs w:val="22"/>
        </w:rPr>
      </w:pPr>
      <w:r w:rsidDel="00000000" w:rsidR="00000000" w:rsidRPr="00000000">
        <w:rPr>
          <w:sz w:val="22"/>
          <w:szCs w:val="22"/>
          <w:rtl w:val="0"/>
        </w:rPr>
        <w:t xml:space="preserve">Om Bostadsrättshavarna inte fullgör någon eller några av förpliktelserna i detta avtal äger Föreningen på Bostadsrättshavarnas bekostnad själv fullgöra dessa. Detta gäller dock först sedan Bostadsrättshavarna beretts tillfälle att vidta åtgärder.</w:t>
      </w:r>
    </w:p>
    <w:p w:rsidR="00000000" w:rsidDel="00000000" w:rsidP="00000000" w:rsidRDefault="00000000" w:rsidRPr="00000000" w14:paraId="00000019">
      <w:pPr>
        <w:spacing w:after="240" w:before="240" w:line="360" w:lineRule="auto"/>
        <w:rPr>
          <w:sz w:val="22"/>
          <w:szCs w:val="22"/>
        </w:rPr>
      </w:pPr>
      <w:r w:rsidDel="00000000" w:rsidR="00000000" w:rsidRPr="00000000">
        <w:rPr>
          <w:sz w:val="22"/>
          <w:szCs w:val="22"/>
          <w:rtl w:val="0"/>
        </w:rPr>
        <w:t xml:space="preserve">När ombyggnationen är klar ska detta anmälas till Föreningen. Föreningen har då rätt att påkalla en besiktning.</w:t>
      </w:r>
      <w:r w:rsidDel="00000000" w:rsidR="00000000" w:rsidRPr="00000000">
        <w:rPr>
          <w:rtl w:val="0"/>
        </w:rPr>
        <w:t xml:space="preserve"> </w:t>
      </w:r>
      <w:r w:rsidDel="00000000" w:rsidR="00000000" w:rsidRPr="00000000">
        <w:rPr>
          <w:sz w:val="22"/>
          <w:szCs w:val="22"/>
          <w:rtl w:val="0"/>
        </w:rPr>
        <w:t xml:space="preserve">Föreningen ska stå som beställare för kontrollanten, medan Bostadrättshavarna ska stå kostnaden för kontrollantens arbete.</w:t>
      </w:r>
      <w:r w:rsidDel="00000000" w:rsidR="00000000" w:rsidRPr="00000000">
        <w:rPr>
          <w:rtl w:val="0"/>
        </w:rPr>
        <w:t xml:space="preserve"> </w:t>
      </w:r>
      <w:r w:rsidDel="00000000" w:rsidR="00000000" w:rsidRPr="00000000">
        <w:rPr>
          <w:sz w:val="22"/>
          <w:szCs w:val="22"/>
          <w:rtl w:val="0"/>
        </w:rPr>
        <w:t xml:space="preserve">Det åligger Bostadsrättshavarna att rätta sig efter de eventuella instruktioner kontrollanten lämnar. Dessa instruktioner ska dock enbart vara föranledda av intresset att tillvarata fastighetens goda bestånd eller uppfyllande av allmänna byggstandardkrav.</w:t>
      </w:r>
    </w:p>
    <w:p w:rsidR="00000000" w:rsidDel="00000000" w:rsidP="00000000" w:rsidRDefault="00000000" w:rsidRPr="00000000" w14:paraId="0000001A">
      <w:pPr>
        <w:spacing w:after="240" w:before="240" w:line="360" w:lineRule="auto"/>
        <w:rPr>
          <w:sz w:val="22"/>
          <w:szCs w:val="22"/>
        </w:rPr>
      </w:pPr>
      <w:r w:rsidDel="00000000" w:rsidR="00000000" w:rsidRPr="00000000">
        <w:rPr>
          <w:sz w:val="22"/>
          <w:szCs w:val="22"/>
          <w:rtl w:val="0"/>
        </w:rPr>
        <w:t xml:space="preserve">Ombyggnationen ska vara klar och slutligt kontrollerad av Föreningens egen tekniska representant senast den .......... /  .......... 20..... För varje påbörjad vecka efter detta datum som ombyggnationen inte är klar kan Föreningen fatta beslut om att kräva Bostadsrättshavarna på ett vite om 1 000 kr.</w:t>
      </w:r>
      <w:r w:rsidDel="00000000" w:rsidR="00000000" w:rsidRPr="00000000">
        <w:rPr>
          <w:rtl w:val="0"/>
        </w:rPr>
      </w:r>
    </w:p>
    <w:p w:rsidR="00000000" w:rsidDel="00000000" w:rsidP="00000000" w:rsidRDefault="00000000" w:rsidRPr="00000000" w14:paraId="0000001B">
      <w:pPr>
        <w:spacing w:after="240" w:before="240" w:line="360" w:lineRule="auto"/>
        <w:rPr>
          <w:sz w:val="22"/>
          <w:szCs w:val="22"/>
        </w:rPr>
      </w:pPr>
      <w:r w:rsidDel="00000000" w:rsidR="00000000" w:rsidRPr="00000000">
        <w:rPr>
          <w:sz w:val="22"/>
          <w:szCs w:val="22"/>
          <w:rtl w:val="0"/>
        </w:rPr>
        <w:t xml:space="preserve">Bostadsrättshavarna överlåter på Föreningen den inredning och maskinell utrustning som tillförs fastigheten och som normalt enligt jordabalkens 2 kapitel utgör fast egendom eller tillbehör därtill (fastighetstillbehör).</w:t>
      </w:r>
    </w:p>
    <w:p w:rsidR="00000000" w:rsidDel="00000000" w:rsidP="00000000" w:rsidRDefault="00000000" w:rsidRPr="00000000" w14:paraId="0000001C">
      <w:pPr>
        <w:keepNext w:val="1"/>
        <w:keepLines w:val="1"/>
        <w:numPr>
          <w:ilvl w:val="0"/>
          <w:numId w:val="1"/>
        </w:numPr>
        <w:spacing w:after="240" w:before="240" w:line="360" w:lineRule="auto"/>
        <w:ind w:left="720" w:hanging="360"/>
        <w:rPr>
          <w:rFonts w:ascii="Arial" w:cs="Arial" w:eastAsia="Arial" w:hAnsi="Arial"/>
          <w:b w:val="1"/>
          <w:color w:val="00257a"/>
          <w:sz w:val="26"/>
          <w:szCs w:val="26"/>
        </w:rPr>
      </w:pPr>
      <w:r w:rsidDel="00000000" w:rsidR="00000000" w:rsidRPr="00000000">
        <w:rPr>
          <w:rFonts w:ascii="Arial" w:cs="Arial" w:eastAsia="Arial" w:hAnsi="Arial"/>
          <w:b w:val="1"/>
          <w:color w:val="00257a"/>
          <w:sz w:val="26"/>
          <w:szCs w:val="26"/>
          <w:rtl w:val="0"/>
        </w:rPr>
        <w:t xml:space="preserve">Övriga villkor</w:t>
      </w:r>
    </w:p>
    <w:p w:rsidR="00000000" w:rsidDel="00000000" w:rsidP="00000000" w:rsidRDefault="00000000" w:rsidRPr="00000000" w14:paraId="0000001D">
      <w:pPr>
        <w:spacing w:after="240" w:before="240" w:line="360" w:lineRule="auto"/>
        <w:rPr>
          <w:sz w:val="22"/>
          <w:szCs w:val="22"/>
        </w:rPr>
      </w:pPr>
      <w:r w:rsidDel="00000000" w:rsidR="00000000" w:rsidRPr="00000000">
        <w:rPr>
          <w:sz w:val="22"/>
          <w:szCs w:val="22"/>
          <w:rtl w:val="0"/>
        </w:rPr>
        <w:t xml:space="preserve">Bostadsrättshavarna är sedan tidigare medlemmar i Föreningen och har före avtalets undertecknande tagit del av Föreningens stadgar.</w:t>
      </w:r>
    </w:p>
    <w:p w:rsidR="00000000" w:rsidDel="00000000" w:rsidP="00000000" w:rsidRDefault="00000000" w:rsidRPr="00000000" w14:paraId="0000001E">
      <w:pPr>
        <w:spacing w:after="240" w:before="240" w:line="360" w:lineRule="auto"/>
        <w:rPr>
          <w:sz w:val="22"/>
          <w:szCs w:val="22"/>
        </w:rPr>
      </w:pPr>
      <w:r w:rsidDel="00000000" w:rsidR="00000000" w:rsidRPr="00000000">
        <w:rPr>
          <w:sz w:val="22"/>
          <w:szCs w:val="22"/>
          <w:rtl w:val="0"/>
        </w:rPr>
        <w:t xml:space="preserve">Den Tillkommande ytan upplåtes i befintligt och av Bostadsrättshavarna besiktigat och godkänt skick. Bostadrättshavarna avstår från alla anspråk mot Föreningen med anledning av upplåtelsen.</w:t>
      </w:r>
    </w:p>
    <w:p w:rsidR="00000000" w:rsidDel="00000000" w:rsidP="00000000" w:rsidRDefault="00000000" w:rsidRPr="00000000" w14:paraId="0000001F">
      <w:pPr>
        <w:spacing w:after="240" w:before="240" w:line="360" w:lineRule="auto"/>
        <w:rPr>
          <w:sz w:val="22"/>
          <w:szCs w:val="22"/>
        </w:rPr>
      </w:pPr>
      <w:r w:rsidDel="00000000" w:rsidR="00000000" w:rsidRPr="00000000">
        <w:rPr>
          <w:sz w:val="22"/>
          <w:szCs w:val="22"/>
          <w:rtl w:val="0"/>
        </w:rPr>
        <w:t xml:space="preserve">För det fall den faktiska ytan avviker från uppgiften ovan berättigar detta inte Bostadsrättshavarna till någon ändring i villkoren i denna handling eller ersättning för anspråk i någon form från Föreningen.</w:t>
      </w:r>
    </w:p>
    <w:p w:rsidR="00000000" w:rsidDel="00000000" w:rsidP="00000000" w:rsidRDefault="00000000" w:rsidRPr="00000000" w14:paraId="00000020">
      <w:pPr>
        <w:spacing w:after="240" w:before="240" w:line="360" w:lineRule="auto"/>
        <w:rPr>
          <w:sz w:val="22"/>
          <w:szCs w:val="22"/>
        </w:rPr>
      </w:pPr>
      <w:r w:rsidDel="00000000" w:rsidR="00000000" w:rsidRPr="00000000">
        <w:rPr>
          <w:sz w:val="22"/>
          <w:szCs w:val="22"/>
          <w:rtl w:val="0"/>
        </w:rPr>
        <w:t xml:space="preserve">Föreningen har uppmanat Bostadrättshavarna att kontakta Skatteverket för att utreda eventuella skatterättsliga frågor.  Föreningen tar inget ansvar för eventuella skatterättsliga konsekvenserna för Bostadsrättshavarna. </w:t>
      </w:r>
    </w:p>
    <w:p w:rsidR="00000000" w:rsidDel="00000000" w:rsidP="00000000" w:rsidRDefault="00000000" w:rsidRPr="00000000" w14:paraId="00000021">
      <w:pPr>
        <w:spacing w:after="240" w:before="240" w:line="360" w:lineRule="auto"/>
        <w:rPr>
          <w:sz w:val="22"/>
          <w:szCs w:val="22"/>
        </w:rPr>
      </w:pPr>
      <w:bookmarkStart w:colFirst="0" w:colLast="0" w:name="_7yc5549deqnt" w:id="1"/>
      <w:bookmarkEnd w:id="1"/>
      <w:r w:rsidDel="00000000" w:rsidR="00000000" w:rsidRPr="00000000">
        <w:rPr>
          <w:sz w:val="22"/>
          <w:szCs w:val="22"/>
          <w:rtl w:val="0"/>
        </w:rPr>
        <w:t xml:space="preserve">Föreningen tar ut en avgift för samtliga vindsutrymmen där det finns takkupoler. Avgiften faktureras månadsvis på samma faktura som månadsavgiften. </w:t>
      </w:r>
      <w:r w:rsidDel="00000000" w:rsidR="00000000" w:rsidRPr="00000000">
        <w:rPr>
          <w:rtl w:val="0"/>
        </w:rPr>
      </w:r>
    </w:p>
    <w:p w:rsidR="00000000" w:rsidDel="00000000" w:rsidP="00000000" w:rsidRDefault="00000000" w:rsidRPr="00000000" w14:paraId="00000022">
      <w:pPr>
        <w:spacing w:after="240" w:before="240" w:line="360" w:lineRule="auto"/>
        <w:rPr>
          <w:sz w:val="22"/>
          <w:szCs w:val="22"/>
        </w:rPr>
      </w:pPr>
      <w:r w:rsidDel="00000000" w:rsidR="00000000" w:rsidRPr="00000000">
        <w:rPr>
          <w:sz w:val="22"/>
          <w:szCs w:val="22"/>
          <w:rtl w:val="0"/>
        </w:rPr>
        <w:t xml:space="preserve">Bostadsrättshavarna har inte rätt att överlåta Lägenheten eller på annat sätt upplåta Lägenheten till annan innan samtliga förpliktelser enligt detta avtal är uppfyllda.</w:t>
      </w:r>
    </w:p>
    <w:p w:rsidR="00000000" w:rsidDel="00000000" w:rsidP="00000000" w:rsidRDefault="00000000" w:rsidRPr="00000000" w14:paraId="00000023">
      <w:pPr>
        <w:rPr>
          <w:sz w:val="22"/>
          <w:szCs w:val="22"/>
        </w:rPr>
      </w:pPr>
      <w:r w:rsidDel="00000000" w:rsidR="00000000" w:rsidRPr="00000000">
        <w:rPr>
          <w:rtl w:val="0"/>
        </w:rPr>
      </w:r>
    </w:p>
    <w:p w:rsidR="00000000" w:rsidDel="00000000" w:rsidP="00000000" w:rsidRDefault="00000000" w:rsidRPr="00000000" w14:paraId="00000024">
      <w:pPr>
        <w:spacing w:after="0" w:line="240" w:lineRule="auto"/>
        <w:rPr/>
      </w:pPr>
      <w:bookmarkStart w:colFirst="0" w:colLast="0" w:name="_msn0zs1kdgok" w:id="2"/>
      <w:bookmarkEnd w:id="2"/>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ab/>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den       /          20</w:t>
      </w:r>
      <w:r w:rsidDel="00000000" w:rsidR="00000000" w:rsidRPr="00000000">
        <w:rPr>
          <w:highlight w:val="yellow"/>
          <w:rtl w:val="0"/>
        </w:rPr>
        <w:t xml:space="preserve">__</w:t>
      </w:r>
      <w:r w:rsidDel="00000000" w:rsidR="00000000" w:rsidRPr="00000000">
        <w:rPr>
          <w:rtl w:val="0"/>
        </w:rPr>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t xml:space="preserve">HSB Brf Bronskatten i Farsta </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__________________________,firmatecknare                     _________________________,firmatecknare</w:t>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__________________________________</w:t>
        <w:tab/>
        <w:t xml:space="preserve">                    __________________________________</w:t>
      </w:r>
    </w:p>
    <w:p w:rsidR="00000000" w:rsidDel="00000000" w:rsidP="00000000" w:rsidRDefault="00000000" w:rsidRPr="00000000" w14:paraId="00000036">
      <w:pPr>
        <w:spacing w:after="0" w:line="240" w:lineRule="auto"/>
        <w:rPr/>
      </w:pPr>
      <w:r w:rsidDel="00000000" w:rsidR="00000000" w:rsidRPr="00000000">
        <w:rPr>
          <w:rtl w:val="0"/>
        </w:rPr>
        <w:t xml:space="preserve">Namnförtydligande</w:t>
        <w:tab/>
        <w:t xml:space="preserve">       </w:t>
        <w:tab/>
        <w:t xml:space="preserve">                    Namnförtydligande</w:t>
      </w:r>
    </w:p>
    <w:p w:rsidR="00000000" w:rsidDel="00000000" w:rsidP="00000000" w:rsidRDefault="00000000" w:rsidRPr="00000000" w14:paraId="00000037">
      <w:pPr>
        <w:spacing w:after="0" w:line="240" w:lineRule="auto"/>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t xml:space="preserve">              </w:t>
      </w:r>
    </w:p>
    <w:p w:rsidR="00000000" w:rsidDel="00000000" w:rsidP="00000000" w:rsidRDefault="00000000" w:rsidRPr="00000000" w14:paraId="00000039">
      <w:pPr>
        <w:spacing w:after="0" w:line="240" w:lineRule="auto"/>
        <w:rPr/>
      </w:pPr>
      <w:r w:rsidDel="00000000" w:rsidR="00000000" w:rsidRPr="00000000">
        <w:rPr>
          <w:rtl w:val="0"/>
        </w:rPr>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r>
    </w:p>
    <w:p w:rsidR="00000000" w:rsidDel="00000000" w:rsidP="00000000" w:rsidRDefault="00000000" w:rsidRPr="00000000" w14:paraId="0000003C">
      <w:pPr>
        <w:spacing w:after="0" w:line="240" w:lineRule="auto"/>
        <w:rPr/>
      </w:pPr>
      <w:r w:rsidDel="00000000" w:rsidR="00000000" w:rsidRPr="00000000">
        <w:rPr>
          <w:rtl w:val="0"/>
        </w:rPr>
        <w:t xml:space="preserve">den       /          20</w:t>
      </w:r>
      <w:r w:rsidDel="00000000" w:rsidR="00000000" w:rsidRPr="00000000">
        <w:rPr>
          <w:highlight w:val="yellow"/>
          <w:rtl w:val="0"/>
        </w:rPr>
        <w:t xml:space="preserve">__</w:t>
      </w: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t xml:space="preserve">_____________________________</w:t>
        <w:tab/>
        <w:tab/>
        <w:t xml:space="preserve">___________________________</w:t>
      </w:r>
    </w:p>
    <w:p w:rsidR="00000000" w:rsidDel="00000000" w:rsidP="00000000" w:rsidRDefault="00000000" w:rsidRPr="00000000" w14:paraId="00000042">
      <w:pPr>
        <w:spacing w:after="0" w:line="240" w:lineRule="auto"/>
        <w:rPr>
          <w:b w:val="1"/>
          <w:i w:val="1"/>
        </w:rPr>
      </w:pPr>
      <w:r w:rsidDel="00000000" w:rsidR="00000000" w:rsidRPr="00000000">
        <w:rPr>
          <w:rtl w:val="0"/>
        </w:rPr>
        <w:t xml:space="preserve">[</w:t>
      </w:r>
      <w:r w:rsidDel="00000000" w:rsidR="00000000" w:rsidRPr="00000000">
        <w:rPr>
          <w:highlight w:val="yellow"/>
          <w:rtl w:val="0"/>
        </w:rPr>
        <w:t xml:space="preserve">namn</w:t>
      </w:r>
      <w:r w:rsidDel="00000000" w:rsidR="00000000" w:rsidRPr="00000000">
        <w:rPr>
          <w:rtl w:val="0"/>
        </w:rPr>
        <w:t xml:space="preserve">]</w:t>
        <w:tab/>
        <w:tab/>
        <w:tab/>
        <w:tab/>
        <w:tab/>
        <w:tab/>
      </w:r>
      <w:r w:rsidDel="00000000" w:rsidR="00000000" w:rsidRPr="00000000">
        <w:rPr>
          <w:highlight w:val="yellow"/>
          <w:rtl w:val="0"/>
        </w:rPr>
        <w:t xml:space="preserve">[namn]</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r>
    </w:p>
    <w:p w:rsidR="00000000" w:rsidDel="00000000" w:rsidP="00000000" w:rsidRDefault="00000000" w:rsidRPr="00000000" w14:paraId="00000044">
      <w:pPr>
        <w:rPr/>
      </w:pPr>
      <w:r w:rsidDel="00000000" w:rsidR="00000000" w:rsidRPr="00000000">
        <w:rPr>
          <w:rtl w:val="0"/>
        </w:rPr>
        <w:t xml:space="preserve">Medlem</w:t>
      </w:r>
    </w:p>
    <w:p w:rsidR="00000000" w:rsidDel="00000000" w:rsidP="00000000" w:rsidRDefault="00000000" w:rsidRPr="00000000" w14:paraId="00000045">
      <w:pPr>
        <w:spacing w:after="0" w:line="240" w:lineRule="auto"/>
        <w:rPr/>
      </w:pPr>
      <w:r w:rsidDel="00000000" w:rsidR="00000000" w:rsidRPr="00000000">
        <w:rPr>
          <w:rtl w:val="0"/>
        </w:rPr>
      </w:r>
    </w:p>
    <w:sectPr>
      <w:headerReference r:id="rId6" w:type="default"/>
      <w:headerReference r:id="rId7" w:type="first"/>
      <w:pgSz w:h="16838" w:w="11906" w:orient="portrait"/>
      <w:pgMar w:bottom="1531" w:top="2268" w:left="1701" w:right="1416"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9072.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5812"/>
      <w:gridCol w:w="1417"/>
      <w:tblGridChange w:id="0">
        <w:tblGrid>
          <w:gridCol w:w="1843"/>
          <w:gridCol w:w="5812"/>
          <w:gridCol w:w="1417"/>
        </w:tblGrid>
      </w:tblGridChange>
    </w:tblGrid>
    <w:tr>
      <w:trPr>
        <w:cantSplit w:val="0"/>
        <w:tblHeader w:val="0"/>
      </w:trPr>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drawing>
              <wp:inline distB="0" distT="0" distL="0" distR="0">
                <wp:extent cx="864110" cy="601981"/>
                <wp:effectExtent b="0" l="0" r="0" t="0"/>
                <wp:docPr descr="HSB_Farg_Sv.png" id="1" name="image1.png"/>
                <a:graphic>
                  <a:graphicData uri="http://schemas.openxmlformats.org/drawingml/2006/picture">
                    <pic:pic>
                      <pic:nvPicPr>
                        <pic:cNvPr descr="HSB_Farg_Sv.png" id="0" name="image1.png"/>
                        <pic:cNvPicPr preferRelativeResize="0"/>
                      </pic:nvPicPr>
                      <pic:blipFill>
                        <a:blip r:embed="rId1"/>
                        <a:srcRect b="0" l="0" r="0" t="0"/>
                        <a:stretch>
                          <a:fillRect/>
                        </a:stretch>
                      </pic:blipFill>
                      <pic:spPr>
                        <a:xfrm>
                          <a:off x="0" y="0"/>
                          <a:ext cx="864110" cy="6019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bl>
    <w:tblPr>
      <w:tblStyle w:val="Table2"/>
      <w:tblW w:w="3260.0" w:type="dxa"/>
      <w:jc w:val="left"/>
      <w:tblInd w:w="-56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843"/>
      <w:gridCol w:w="1417"/>
      <w:tblGridChange w:id="0">
        <w:tblGrid>
          <w:gridCol w:w="1843"/>
          <w:gridCol w:w="1417"/>
        </w:tblGrid>
      </w:tblGridChange>
    </w:tblGrid>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t>
          </w:r>
        </w:p>
      </w:tc>
    </w:tr>
    <w:tr>
      <w:trPr>
        <w:cantSplit w:val="0"/>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sv-SE"/>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1"/>
      <w:i w:val="0"/>
      <w:smallCaps w:val="1"/>
      <w:strike w:val="0"/>
      <w:color w:val="00257a"/>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1"/>
      <w:strike w:val="0"/>
      <w:color w:val="00257a"/>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257a"/>
      <w:sz w:val="26"/>
      <w:szCs w:val="26"/>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1"/>
      <w:i w:val="0"/>
      <w:smallCaps w:val="0"/>
      <w:strike w:val="0"/>
      <w:color w:val="00257a"/>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257a"/>
      <w:sz w:val="22"/>
      <w:szCs w:val="22"/>
      <w:u w:val="none"/>
      <w:shd w:fill="auto" w:val="clear"/>
      <w:vertAlign w:val="baseline"/>
    </w:rPr>
  </w:style>
  <w:style w:type="paragraph" w:styleId="Heading6">
    <w:name w:val="heading 6"/>
    <w:basedOn w:val="Normal"/>
    <w:next w:val="Normal"/>
    <w:pPr>
      <w:keepNext w:val="1"/>
      <w:keepLines w:val="1"/>
      <w:spacing w:before="200" w:line="280" w:lineRule="auto"/>
    </w:pPr>
    <w:rPr>
      <w:b w:val="1"/>
      <w:color w:val="00257a"/>
      <w:sz w:val="22"/>
      <w:szCs w:val="22"/>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80" w:lineRule="auto"/>
      <w:ind w:left="284" w:right="0" w:hanging="284"/>
      <w:jc w:val="left"/>
    </w:pPr>
    <w:rPr>
      <w:rFonts w:ascii="Arial" w:cs="Arial" w:eastAsia="Arial" w:hAnsi="Arial"/>
      <w:b w:val="1"/>
      <w:i w:val="0"/>
      <w:smallCaps w:val="1"/>
      <w:strike w:val="0"/>
      <w:color w:val="000000"/>
      <w:sz w:val="40"/>
      <w:szCs w:val="40"/>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6.0" w:type="dxa"/>
        <w:left w:w="6.0" w:type="dxa"/>
        <w:bottom w:w="6.0" w:type="dxa"/>
        <w:right w:w="6.0" w:type="dxa"/>
      </w:tblCellMar>
    </w:tblPr>
  </w:style>
  <w:style w:type="table" w:styleId="Table2">
    <w:basedOn w:val="TableNormal"/>
    <w:pPr>
      <w:spacing w:after="0" w:line="240" w:lineRule="auto"/>
    </w:pPr>
    <w:tblPr>
      <w:tblStyleRowBandSize w:val="1"/>
      <w:tblStyleColBandSize w:val="1"/>
      <w:tblCellMar>
        <w:top w:w="6.0" w:type="dxa"/>
        <w:left w:w="6.0" w:type="dxa"/>
        <w:bottom w:w="6.0" w:type="dxa"/>
        <w:right w:w="6.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HSBMall">
    <vt:lpwstr>true</vt:lpwstr>
  </property>
  <property fmtid="{D5CDD505-2E9C-101B-9397-08002B2CF9AE}" pid="3" name="Datum">
    <vt:lpwstr>2013-04-19</vt:lpwstr>
  </property>
  <property fmtid="{D5CDD505-2E9C-101B-9397-08002B2CF9AE}" pid="4" name="Rubrik">
    <vt:lpwstr>Avtal om inglasning av altan</vt:lpwstr>
  </property>
  <property fmtid="{D5CDD505-2E9C-101B-9397-08002B2CF9AE}" pid="5" name="ContentTypeId">
    <vt:lpwstr>0x010100D94F4856BBF1B3479C1D4D785E0A84BE</vt:lpwstr>
  </property>
  <property fmtid="{D5CDD505-2E9C-101B-9397-08002B2CF9AE}" pid="6" name="hbf4dca1815a4fa596b9bcf6650aadca">
    <vt:lpwstr>Internt|6c5aad2e-464f-4ba3-919f-16278ece37f1</vt:lpwstr>
  </property>
  <property fmtid="{D5CDD505-2E9C-101B-9397-08002B2CF9AE}" pid="7" name="RFKlientnamn">
    <vt:lpwstr>619</vt:lpwstr>
  </property>
  <property fmtid="{D5CDD505-2E9C-101B-9397-08002B2CF9AE}" pid="8" name="i2c082daec8f469f943664f6a6e76776">
    <vt:lpwstr>i2c082daec8f469f943664f6a6e76776</vt:lpwstr>
  </property>
  <property fmtid="{D5CDD505-2E9C-101B-9397-08002B2CF9AE}" pid="9" name="fcb91386cc6248c692e7dbbf4930b871">
    <vt:lpwstr>fcb91386cc6248c692e7dbbf4930b871</vt:lpwstr>
  </property>
  <property fmtid="{D5CDD505-2E9C-101B-9397-08002B2CF9AE}" pid="10" name="Ar">
    <vt:lpwstr>Ar</vt:lpwstr>
  </property>
  <property fmtid="{D5CDD505-2E9C-101B-9397-08002B2CF9AE}" pid="11" name="i6b425b6cf0e443488f21e97d73ecb99">
    <vt:lpwstr>i6b425b6cf0e443488f21e97d73ecb99</vt:lpwstr>
  </property>
  <property fmtid="{D5CDD505-2E9C-101B-9397-08002B2CF9AE}" pid="12" name="f830665792dc4b0fa5b416be20096dc6">
    <vt:lpwstr>f830665792dc4b0fa5b416be20096dc6</vt:lpwstr>
  </property>
  <property fmtid="{D5CDD505-2E9C-101B-9397-08002B2CF9AE}" pid="13" name="h5d1f9ee5e8b422991d3e3da3b091336">
    <vt:lpwstr>h5d1f9ee5e8b422991d3e3da3b091336</vt:lpwstr>
  </property>
  <property fmtid="{D5CDD505-2E9C-101B-9397-08002B2CF9AE}" pid="14" name="RFArendenummer">
    <vt:lpwstr>RFArendenummer</vt:lpwstr>
  </property>
  <property fmtid="{D5CDD505-2E9C-101B-9397-08002B2CF9AE}" pid="15" name="RFArendeNrTaxHTField">
    <vt:lpwstr>RFArendeNrTaxHTField</vt:lpwstr>
  </property>
  <property fmtid="{D5CDD505-2E9C-101B-9397-08002B2CF9AE}" pid="16" name="Process">
    <vt:lpwstr>Process</vt:lpwstr>
  </property>
  <property fmtid="{D5CDD505-2E9C-101B-9397-08002B2CF9AE}" pid="17" name="NyckelordSakomrade">
    <vt:lpwstr>NyckelordSakomrade</vt:lpwstr>
  </property>
  <property fmtid="{D5CDD505-2E9C-101B-9397-08002B2CF9AE}" pid="18" name="Arbetsdokument">
    <vt:lpwstr>Arbetsdokument</vt:lpwstr>
  </property>
  <property fmtid="{D5CDD505-2E9C-101B-9397-08002B2CF9AE}" pid="19" name="fa8a3f948de94d16a21e97575450a636">
    <vt:lpwstr>fa8a3f948de94d16a21e97575450a636</vt:lpwstr>
  </property>
  <property fmtid="{D5CDD505-2E9C-101B-9397-08002B2CF9AE}" pid="20" name="Period">
    <vt:lpwstr>Period</vt:lpwstr>
  </property>
  <property fmtid="{D5CDD505-2E9C-101B-9397-08002B2CF9AE}" pid="21" name="MalgruppIntressent">
    <vt:lpwstr>MalgruppIntressent</vt:lpwstr>
  </property>
  <property fmtid="{D5CDD505-2E9C-101B-9397-08002B2CF9AE}" pid="22" name="Klassificering">
    <vt:lpwstr>43;#Internt|6c5aad2e-464f-4ba3-919f-16278ece37f1</vt:lpwstr>
  </property>
</Properties>
</file>