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69CF1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729FB824" w14:textId="4332835E" w:rsidR="006B7D62" w:rsidRPr="006B7D62" w:rsidRDefault="006B7D62" w:rsidP="006B7D62">
      <w:pPr>
        <w:pStyle w:val="Rubrik"/>
        <w:rPr>
          <w:rFonts w:eastAsia="Times New Roman"/>
          <w:lang w:eastAsia="sv-SE"/>
        </w:rPr>
      </w:pPr>
      <w:r w:rsidRPr="006B7D62">
        <w:rPr>
          <w:rFonts w:eastAsia="Times New Roman"/>
          <w:lang w:eastAsia="sv-SE"/>
        </w:rPr>
        <w:t>Information till medlemmarna i BRF Vattenbrynet</w:t>
      </w:r>
    </w:p>
    <w:p w14:paraId="7468412D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5E993E2D" w14:textId="6E43AA4D" w:rsidR="006B7D62" w:rsidRPr="006B7D62" w:rsidRDefault="00BD0BE4" w:rsidP="006B7D62">
      <w:pPr>
        <w:pStyle w:val="Liststycke"/>
        <w:numPr>
          <w:ilvl w:val="0"/>
          <w:numId w:val="5"/>
        </w:num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Brf Vattenbrynet</w:t>
      </w:r>
      <w:r w:rsidR="006B7D62"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 har ingått ett avtal om snöröjning med Lassen Construction AB</w:t>
      </w:r>
    </w:p>
    <w:p w14:paraId="37F334AA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08384251" w14:textId="0B92E709" w:rsidR="006B7D62" w:rsidRDefault="00BD0BE4" w:rsidP="006B7D62">
      <w:pPr>
        <w:pStyle w:val="Liststycke"/>
        <w:numPr>
          <w:ilvl w:val="0"/>
          <w:numId w:val="4"/>
        </w:num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Brf Vattenbrynet</w:t>
      </w: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 </w:t>
      </w:r>
      <w:r w:rsidR="006B7D62"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har även skrivit under ett avtal med Telia för </w:t>
      </w:r>
      <w:proofErr w:type="spellStart"/>
      <w:r w:rsidR="006B7D62"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Bolina</w:t>
      </w:r>
      <w:proofErr w:type="spellEnd"/>
      <w:r w:rsidR="006B7D62"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 3.0, vilket kommer att gälla från och med januari 2024.</w:t>
      </w:r>
    </w:p>
    <w:p w14:paraId="1932AE86" w14:textId="77777777" w:rsidR="006B7D62" w:rsidRPr="006B7D62" w:rsidRDefault="006B7D62" w:rsidP="006B7D62">
      <w:pPr>
        <w:pStyle w:val="Liststycke"/>
        <w:ind w:left="770"/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5C804F5E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Månadspriset per hushåll är 169 kronor (inklusive moms) och avtalet sträcker sig över 5 år.</w:t>
      </w:r>
    </w:p>
    <w:p w14:paraId="40108F60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Följande ingår i erbjudandet:</w:t>
      </w:r>
    </w:p>
    <w:p w14:paraId="56592945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35911C46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• TV &amp; </w:t>
      </w:r>
      <w:proofErr w:type="spellStart"/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StreamingBas</w:t>
      </w:r>
      <w:proofErr w:type="spellEnd"/>
    </w:p>
    <w:p w14:paraId="1AF68BF7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• TV Danmark</w:t>
      </w:r>
    </w:p>
    <w:p w14:paraId="7F6430BC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• Bredband 1000/1000</w:t>
      </w:r>
    </w:p>
    <w:p w14:paraId="41AE8A5E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• Telia Play</w:t>
      </w:r>
    </w:p>
    <w:p w14:paraId="5FFF0B8B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• Fri support och byte av defekt hårdvara under hela avtalstiden</w:t>
      </w:r>
    </w:p>
    <w:p w14:paraId="566AB3B4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• Kostnadsfri installationshjälp ingår</w:t>
      </w:r>
    </w:p>
    <w:p w14:paraId="567CE2EC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101A4C1B" w14:textId="77777777" w:rsidR="006B7D62" w:rsidRPr="006B7D62" w:rsidRDefault="006B7D62" w:rsidP="006B7D62">
      <w:pPr>
        <w:pStyle w:val="Liststycke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Styrelsen påminner om vikten av att betala avgiften i tid. Försenade betalningar medför kostnader för föreningen som styrelsen helst undviker.</w:t>
      </w:r>
    </w:p>
    <w:p w14:paraId="5BE66F83" w14:textId="77777777" w:rsidR="006B7D62" w:rsidRPr="006B7D62" w:rsidRDefault="006B7D62" w:rsidP="006B7D62">
      <w:p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3F816CD4" w14:textId="35B6BAF9" w:rsidR="008747E4" w:rsidRPr="008747E4" w:rsidRDefault="006B7D62" w:rsidP="008747E4">
      <w:pPr>
        <w:pStyle w:val="Liststycke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6B7D62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Det är enligt föreningens stadgar inte tillåtet med korttidsuthyrning av lägenhete</w:t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n</w:t>
      </w:r>
      <w:r w:rsidR="008747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. </w:t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Ansökan om </w:t>
      </w:r>
      <w:r w:rsidR="008747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a</w:t>
      </w:r>
      <w: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ndrahandsuthyrning måste godkännas av förvaltning</w:t>
      </w:r>
      <w:r w:rsidR="008747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 innan man får lov att hyra ut lägenheten. Att ha inneboende är tillåten enbart om medlemmen själv bor i lägenheten</w:t>
      </w:r>
      <w:r w:rsidR="00BD0B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. I alla tillfällen måste medlem informera förvaltningen.</w:t>
      </w:r>
    </w:p>
    <w:p w14:paraId="503F86F4" w14:textId="77777777" w:rsidR="006B7D62" w:rsidRPr="006B7D62" w:rsidRDefault="006B7D62" w:rsidP="006B7D62">
      <w:pPr>
        <w:pStyle w:val="Liststycke"/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1DF3D13F" w14:textId="0A48619F" w:rsidR="008747E4" w:rsidRDefault="006B7D62" w:rsidP="00BD0BE4">
      <w:pPr>
        <w:pStyle w:val="Liststycke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8747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Vi vill även påminna om ordningsreglerna i föreningen och vikten av att hålla ordning och reda i trapphusen, miljöhuset och övriga gemensamma utrymmen.</w:t>
      </w:r>
    </w:p>
    <w:p w14:paraId="676D0116" w14:textId="77777777" w:rsidR="00BD0BE4" w:rsidRPr="00BD0BE4" w:rsidRDefault="00BD0BE4" w:rsidP="00BD0BE4">
      <w:pPr>
        <w:pStyle w:val="Liststycke"/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</w:p>
    <w:p w14:paraId="4D5C2BD9" w14:textId="79AA2455" w:rsidR="0029026C" w:rsidRPr="00BD0BE4" w:rsidRDefault="006B7D62" w:rsidP="00BD0BE4">
      <w:pPr>
        <w:pStyle w:val="Liststycke"/>
        <w:numPr>
          <w:ilvl w:val="0"/>
          <w:numId w:val="3"/>
        </w:numPr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</w:pPr>
      <w:r w:rsidRPr="00BD0B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 xml:space="preserve">Slutligen, medlemmarna uppmanas att sköta om sina trädgårdar. Gräset bör klippas jämnt, och trädgården bör hållas prydlig. </w:t>
      </w:r>
      <w:r w:rsidR="00BD0B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br/>
      </w:r>
      <w:r w:rsidR="00BD0B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br/>
      </w:r>
      <w:r w:rsidRPr="00BD0BE4">
        <w:rPr>
          <w:rFonts w:ascii="Arial" w:eastAsia="Times New Roman" w:hAnsi="Arial" w:cs="Arial"/>
          <w:color w:val="222222"/>
          <w:sz w:val="20"/>
          <w:szCs w:val="20"/>
          <w:lang w:eastAsia="sv-SE"/>
          <w14:ligatures w14:val="none"/>
        </w:rPr>
        <w:t>Tack för er förståelse och samarbete för att skapa en trivsam boendemiljö i BRF Vattenbrynet.</w:t>
      </w:r>
    </w:p>
    <w:p w14:paraId="0B0343B8" w14:textId="77777777" w:rsidR="00BD0BE4" w:rsidRPr="00BD0BE4" w:rsidRDefault="00BD0BE4" w:rsidP="00BD0BE4">
      <w:pPr>
        <w:pStyle w:val="Liststycke"/>
        <w:rPr>
          <w:sz w:val="14"/>
          <w:szCs w:val="14"/>
        </w:rPr>
      </w:pPr>
    </w:p>
    <w:p w14:paraId="3143A44F" w14:textId="77777777" w:rsidR="00BD0BE4" w:rsidRDefault="00BD0BE4" w:rsidP="00BD0BE4">
      <w:pPr>
        <w:rPr>
          <w:sz w:val="14"/>
          <w:szCs w:val="14"/>
        </w:rPr>
      </w:pPr>
    </w:p>
    <w:p w14:paraId="3E36EF74" w14:textId="6BFC82F5" w:rsidR="00BD0BE4" w:rsidRPr="00BD0BE4" w:rsidRDefault="00BD0BE4" w:rsidP="00BD0BE4">
      <w:pPr>
        <w:rPr>
          <w:b/>
          <w:bCs/>
          <w:sz w:val="24"/>
          <w:szCs w:val="24"/>
        </w:rPr>
      </w:pPr>
      <w:r w:rsidRPr="00BD0BE4">
        <w:rPr>
          <w:b/>
          <w:bCs/>
          <w:sz w:val="24"/>
          <w:szCs w:val="24"/>
        </w:rPr>
        <w:t xml:space="preserve">Styrelsen </w:t>
      </w:r>
    </w:p>
    <w:p w14:paraId="0C3A81AA" w14:textId="51109851" w:rsidR="00BD0BE4" w:rsidRPr="00BD0BE4" w:rsidRDefault="00BD0BE4" w:rsidP="00BD0BE4">
      <w:pPr>
        <w:rPr>
          <w:b/>
          <w:bCs/>
          <w:sz w:val="24"/>
          <w:szCs w:val="24"/>
        </w:rPr>
      </w:pPr>
      <w:r w:rsidRPr="00BD0BE4">
        <w:rPr>
          <w:b/>
          <w:bCs/>
          <w:sz w:val="24"/>
          <w:szCs w:val="24"/>
        </w:rPr>
        <w:t>Brf Vattenbrynet</w:t>
      </w:r>
    </w:p>
    <w:sectPr w:rsidR="00BD0BE4" w:rsidRPr="00BD0BE4" w:rsidSect="00B72137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03FFF" w14:textId="77777777" w:rsidR="008747E4" w:rsidRDefault="008747E4" w:rsidP="008747E4">
      <w:pPr>
        <w:spacing w:after="0" w:line="240" w:lineRule="auto"/>
      </w:pPr>
      <w:r>
        <w:separator/>
      </w:r>
    </w:p>
  </w:endnote>
  <w:endnote w:type="continuationSeparator" w:id="0">
    <w:p w14:paraId="3C334795" w14:textId="77777777" w:rsidR="008747E4" w:rsidRDefault="008747E4" w:rsidP="00874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FE67CB" w14:textId="77777777" w:rsidR="008747E4" w:rsidRDefault="008747E4" w:rsidP="008747E4">
      <w:pPr>
        <w:spacing w:after="0" w:line="240" w:lineRule="auto"/>
      </w:pPr>
      <w:r>
        <w:separator/>
      </w:r>
    </w:p>
  </w:footnote>
  <w:footnote w:type="continuationSeparator" w:id="0">
    <w:p w14:paraId="3051ED18" w14:textId="77777777" w:rsidR="008747E4" w:rsidRDefault="008747E4" w:rsidP="00874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7994B" w14:textId="560C1A85" w:rsidR="008747E4" w:rsidRDefault="008747E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9624E3D" wp14:editId="2670CD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8415"/>
              <wp:wrapNone/>
              <wp:docPr id="726737098" name="Textruta 2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394BA" w14:textId="784D583E" w:rsidR="008747E4" w:rsidRPr="008747E4" w:rsidRDefault="008747E4" w:rsidP="008747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47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624E3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Gener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256394BA" w14:textId="784D583E" w:rsidR="008747E4" w:rsidRPr="008747E4" w:rsidRDefault="008747E4" w:rsidP="008747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747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3A4AD" w14:textId="12616149" w:rsidR="00BD0BE4" w:rsidRDefault="008747E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BD9CCC" wp14:editId="4B4E4A76">
              <wp:simplePos x="89849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8415"/>
              <wp:wrapNone/>
              <wp:docPr id="699070952" name="Textruta 3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FCE4FB" w14:textId="74E91E23" w:rsidR="008747E4" w:rsidRPr="008747E4" w:rsidRDefault="008747E4" w:rsidP="008747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47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D9CCC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Gener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4FCE4FB" w14:textId="74E91E23" w:rsidR="008747E4" w:rsidRPr="008747E4" w:rsidRDefault="008747E4" w:rsidP="008747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747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BE4">
      <w:t>2023-11-23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6BED1" w14:textId="402703A4" w:rsidR="008747E4" w:rsidRDefault="008747E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C38ADD" wp14:editId="4316CD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8415"/>
              <wp:wrapNone/>
              <wp:docPr id="935522167" name="Textruta 1" descr="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465B34" w14:textId="1225B0A9" w:rsidR="008747E4" w:rsidRPr="008747E4" w:rsidRDefault="008747E4" w:rsidP="008747E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747E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C38ADD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Gener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C465B34" w14:textId="1225B0A9" w:rsidR="008747E4" w:rsidRPr="008747E4" w:rsidRDefault="008747E4" w:rsidP="008747E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747E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17507"/>
    <w:multiLevelType w:val="hybridMultilevel"/>
    <w:tmpl w:val="97C620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A42F7"/>
    <w:multiLevelType w:val="hybridMultilevel"/>
    <w:tmpl w:val="45D21D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821C6D"/>
    <w:multiLevelType w:val="hybridMultilevel"/>
    <w:tmpl w:val="86306E26"/>
    <w:lvl w:ilvl="0" w:tplc="041D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69720C2A"/>
    <w:multiLevelType w:val="hybridMultilevel"/>
    <w:tmpl w:val="DAF483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CE4E26"/>
    <w:multiLevelType w:val="hybridMultilevel"/>
    <w:tmpl w:val="43C41378"/>
    <w:lvl w:ilvl="0" w:tplc="041D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737165995">
    <w:abstractNumId w:val="3"/>
  </w:num>
  <w:num w:numId="2" w16cid:durableId="217326934">
    <w:abstractNumId w:val="4"/>
  </w:num>
  <w:num w:numId="3" w16cid:durableId="442113609">
    <w:abstractNumId w:val="1"/>
  </w:num>
  <w:num w:numId="4" w16cid:durableId="958729264">
    <w:abstractNumId w:val="2"/>
  </w:num>
  <w:num w:numId="5" w16cid:durableId="724598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DE"/>
    <w:rsid w:val="00266337"/>
    <w:rsid w:val="0029026C"/>
    <w:rsid w:val="003E1EBD"/>
    <w:rsid w:val="006B7D62"/>
    <w:rsid w:val="00731301"/>
    <w:rsid w:val="008747E4"/>
    <w:rsid w:val="00920E1E"/>
    <w:rsid w:val="00A51962"/>
    <w:rsid w:val="00AC5FDE"/>
    <w:rsid w:val="00B72137"/>
    <w:rsid w:val="00BD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368E"/>
  <w15:chartTrackingRefBased/>
  <w15:docId w15:val="{13105EAF-74E2-42B8-B226-56F681524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0E1E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6B7D6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B7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huvud">
    <w:name w:val="header"/>
    <w:basedOn w:val="Normal"/>
    <w:link w:val="SidhuvudChar"/>
    <w:uiPriority w:val="99"/>
    <w:unhideWhenUsed/>
    <w:rsid w:val="00874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747E4"/>
  </w:style>
  <w:style w:type="paragraph" w:styleId="Sidfot">
    <w:name w:val="footer"/>
    <w:basedOn w:val="Normal"/>
    <w:link w:val="SidfotChar"/>
    <w:uiPriority w:val="99"/>
    <w:unhideWhenUsed/>
    <w:rsid w:val="00BD0B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D0B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9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4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0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Mehdi Parsaei</dc:creator>
  <cp:keywords/>
  <dc:description/>
  <cp:lastModifiedBy>Mehdi Parsaei</cp:lastModifiedBy>
  <cp:revision>2</cp:revision>
  <dcterms:created xsi:type="dcterms:W3CDTF">2023-11-22T14:31:00Z</dcterms:created>
  <dcterms:modified xsi:type="dcterms:W3CDTF">2023-11-22T14:31:00Z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37c2ef77,2b5120ca,29aaf9e8</vt:lpwstr>
  </property>
  <property fmtid="{D5CDD505-2E9C-101B-9397-08002B2CF9AE}" pid="3" name="ClassificationContentMarkingHeaderFontProps">
    <vt:lpwstr>#000000,8,Calibri</vt:lpwstr>
  </property>
  <property fmtid="{D5CDD505-2E9C-101B-9397-08002B2CF9AE}" pid="4" name="ClassificationContentMarkingHeaderText">
    <vt:lpwstr>General</vt:lpwstr>
  </property>
  <property fmtid="{D5CDD505-2E9C-101B-9397-08002B2CF9AE}" pid="5" name="MSIP_Label_aee490da-fed8-48ce-ab1f-32dee818a6c1_Enabled">
    <vt:lpwstr>true</vt:lpwstr>
  </property>
  <property fmtid="{D5CDD505-2E9C-101B-9397-08002B2CF9AE}" pid="6" name="MSIP_Label_aee490da-fed8-48ce-ab1f-32dee818a6c1_SetDate">
    <vt:lpwstr>2023-11-21T12:30:10Z</vt:lpwstr>
  </property>
  <property fmtid="{D5CDD505-2E9C-101B-9397-08002B2CF9AE}" pid="7" name="MSIP_Label_aee490da-fed8-48ce-ab1f-32dee818a6c1_Method">
    <vt:lpwstr>Standard</vt:lpwstr>
  </property>
  <property fmtid="{D5CDD505-2E9C-101B-9397-08002B2CF9AE}" pid="8" name="MSIP_Label_aee490da-fed8-48ce-ab1f-32dee818a6c1_Name">
    <vt:lpwstr>General-Marking</vt:lpwstr>
  </property>
  <property fmtid="{D5CDD505-2E9C-101B-9397-08002B2CF9AE}" pid="9" name="MSIP_Label_aee490da-fed8-48ce-ab1f-32dee818a6c1_SiteId">
    <vt:lpwstr>33dab507-5210-4075-805b-f2717d8cfa74</vt:lpwstr>
  </property>
  <property fmtid="{D5CDD505-2E9C-101B-9397-08002B2CF9AE}" pid="10" name="MSIP_Label_aee490da-fed8-48ce-ab1f-32dee818a6c1_ActionId">
    <vt:lpwstr>9930d11a-45ee-40b1-8d7b-51361360ad52</vt:lpwstr>
  </property>
  <property fmtid="{D5CDD505-2E9C-101B-9397-08002B2CF9AE}" pid="11" name="MSIP_Label_aee490da-fed8-48ce-ab1f-32dee818a6c1_ContentBits">
    <vt:lpwstr>1</vt:lpwstr>
  </property>
</Properties>
</file>