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D8BC" w14:textId="77777777" w:rsidR="009926BA" w:rsidRDefault="009926BA">
      <w:r w:rsidRPr="009926BA">
        <w:rPr>
          <w:rStyle w:val="Heading1Char"/>
        </w:rPr>
        <w:t>Riktlinjer för upplåtelse av bostadsrätt i andrahand</w:t>
      </w:r>
      <w:r>
        <w:t xml:space="preserve"> </w:t>
      </w:r>
    </w:p>
    <w:p w14:paraId="6CF57111" w14:textId="650AD95F" w:rsidR="00D17C6A" w:rsidRDefault="009926BA" w:rsidP="00D17C6A">
      <w:pPr>
        <w:rPr>
          <w:i/>
          <w:iCs/>
          <w:sz w:val="20"/>
          <w:szCs w:val="20"/>
        </w:rPr>
      </w:pPr>
      <w:r w:rsidRPr="00D17C6A">
        <w:rPr>
          <w:i/>
          <w:iCs/>
          <w:sz w:val="20"/>
          <w:szCs w:val="20"/>
        </w:rPr>
        <w:t xml:space="preserve">Fastighetsägarna, HSB, Riksbyggen och Bostadsrätterna har tillsammans tagit fram riktlinjer angående andrahandsupplåtelser i bostadsrättsföreningar i syfte att ge stöd åt styrelsen vid behandlingen av en ansökan om andrahandsupplåtelse. </w:t>
      </w:r>
      <w:r w:rsidRPr="00D17C6A">
        <w:rPr>
          <w:i/>
          <w:iCs/>
          <w:sz w:val="20"/>
          <w:szCs w:val="20"/>
        </w:rPr>
        <w:br/>
      </w:r>
      <w:r w:rsidRPr="00D17C6A">
        <w:rPr>
          <w:i/>
          <w:iCs/>
          <w:sz w:val="20"/>
          <w:szCs w:val="20"/>
        </w:rPr>
        <w:t xml:space="preserve">I denna skrift redogörs för vad som utgör skäl för andrahandsupplåtelse, vad som kan vara skäl för föreningen att vägra sådan, samt för tidsbegränsning och andra villkor för upplåtelsen. </w:t>
      </w:r>
      <w:r w:rsidR="00D17C6A">
        <w:rPr>
          <w:i/>
          <w:iCs/>
          <w:sz w:val="20"/>
          <w:szCs w:val="20"/>
        </w:rPr>
        <w:br/>
      </w:r>
    </w:p>
    <w:p w14:paraId="2379471D" w14:textId="49BCD99E" w:rsidR="009926BA" w:rsidRDefault="009926BA" w:rsidP="00D17C6A">
      <w:pPr>
        <w:pStyle w:val="Heading2"/>
      </w:pPr>
      <w:r>
        <w:t xml:space="preserve">Syftet med riktlinjerna </w:t>
      </w:r>
    </w:p>
    <w:p w14:paraId="1EA8B912" w14:textId="51831579" w:rsidR="009926BA" w:rsidRDefault="009926BA">
      <w:r>
        <w:t xml:space="preserve">Fastighetsägarna, HSB, Bostadsrätterna och Riksbyggen har gemensamt tagit fram dessa riktlinjer i syfte att förenkla hanteringen av ansökan om tillstånd till andrahandsupplåtelse. Ett mål med riktlinjerna är att dessa ska leda fram till en mer enhetlig hantering av andrahandsupplåtelser och därigenomskapa en tydligare praxis. </w:t>
      </w:r>
      <w:r>
        <w:tab/>
      </w:r>
      <w:r>
        <w:br/>
      </w:r>
      <w:r>
        <w:br/>
      </w:r>
      <w:r w:rsidRPr="009926BA">
        <w:rPr>
          <w:rStyle w:val="Heading2Char"/>
        </w:rPr>
        <w:t>Vad är upplåtelse i andra hand?</w:t>
      </w:r>
      <w:r>
        <w:t xml:space="preserve"> </w:t>
      </w:r>
    </w:p>
    <w:p w14:paraId="454C311D" w14:textId="02F24F11" w:rsidR="009926BA" w:rsidRPr="00EF2A28" w:rsidRDefault="009926BA">
      <w:pPr>
        <w:rPr>
          <w:rStyle w:val="Heading2Char"/>
          <w:rFonts w:asciiTheme="minorHAnsi" w:eastAsiaTheme="minorHAnsi" w:hAnsiTheme="minorHAnsi" w:cstheme="minorBidi"/>
          <w:color w:val="auto"/>
          <w:sz w:val="22"/>
          <w:szCs w:val="22"/>
        </w:rPr>
      </w:pPr>
      <w:r>
        <w:t xml:space="preserve">Med upplåtelse i andra hand avses att bostadsrättshavaren upplåter lägenheten till annan för självständigt brukande. Om bostadsrättshavaren tar ut hyra för upplåtelsen eller inte saknar betydelse för bedömningen. Likaså saknar det betydelse om den föreslagna hyresgästen är en närstående till bostadsrättshavaren. </w:t>
      </w:r>
      <w:r w:rsidR="008B68B8">
        <w:br/>
      </w:r>
      <w:r>
        <w:br/>
      </w:r>
      <w:r w:rsidRPr="009926BA">
        <w:rPr>
          <w:rStyle w:val="Heading2Char"/>
        </w:rPr>
        <w:t>Styrelsens samtycke eller hyresnämndens tillstånd krävs i de flesta fall</w:t>
      </w:r>
      <w:r w:rsidRPr="009926BA">
        <w:rPr>
          <w:rStyle w:val="Heading2Char"/>
        </w:rPr>
        <w:t>.</w:t>
      </w:r>
    </w:p>
    <w:p w14:paraId="6B27625A" w14:textId="6D52A467" w:rsidR="009926BA" w:rsidRDefault="009926BA">
      <w:r>
        <w:t xml:space="preserve">Huvudregeln i bostadsrättslagen är att en bostadsrättshavare inte får upplåta sin lägenhet i andra hand utan föreningens samtycke eller hyresnämndens tillstånd. </w:t>
      </w:r>
      <w:r>
        <w:br/>
      </w:r>
      <w:r>
        <w:br/>
      </w:r>
      <w:r>
        <w:t>För att upplåtelse i andra hand ska kunna godkännas ska det finnas förslag på en namngiven hyresgäst. Generella samtycken utan namngiven hyresgäst ges</w:t>
      </w:r>
      <w:r w:rsidR="008B68B8">
        <w:t xml:space="preserve"> inte</w:t>
      </w:r>
      <w:r>
        <w:t xml:space="preserve">. </w:t>
      </w:r>
      <w:r w:rsidR="008B68B8">
        <w:br/>
      </w:r>
      <w:r>
        <w:br/>
      </w:r>
      <w:r>
        <w:br/>
      </w:r>
      <w:r w:rsidRPr="009926BA">
        <w:rPr>
          <w:rStyle w:val="Heading2Char"/>
        </w:rPr>
        <w:t>Undantag från regeln om styrelsens samtycke</w:t>
      </w:r>
      <w:r w:rsidRPr="009926BA">
        <w:rPr>
          <w:rStyle w:val="Heading2Char"/>
        </w:rPr>
        <w:t>.</w:t>
      </w:r>
    </w:p>
    <w:p w14:paraId="3C893374" w14:textId="77777777" w:rsidR="009926BA" w:rsidRDefault="009926BA">
      <w:r>
        <w:t xml:space="preserve">Bostadsrättslagen ger två undantag från huvudregeln om att styrelsens samtycke krävs vid upplåtelse i andra hand. Samtycke krävs inte i följande fall: </w:t>
      </w:r>
    </w:p>
    <w:p w14:paraId="581FC34A" w14:textId="2C40C2BD" w:rsidR="009926BA" w:rsidRDefault="009926BA" w:rsidP="009926BA">
      <w:pPr>
        <w:pStyle w:val="ListParagraph"/>
        <w:numPr>
          <w:ilvl w:val="0"/>
          <w:numId w:val="2"/>
        </w:numPr>
      </w:pPr>
      <w:r>
        <w:t xml:space="preserve">När en juridisk person som hade panträtt i bostadsrätten förvärvat den vid exekutiv auktion eller tvångsförsäljning enligt bostadsrättslagen och inte antagits till medlem i föreningen. Regleringen är en konsekvens av att sådan juridisk person får utöva bostadsrätten i tre år utan att vara medlem i föreningen. Om den juridiska personen blir medlem i föreningen måste samtycke inhämtas på vanligt sätt. </w:t>
      </w:r>
      <w:r>
        <w:br/>
      </w:r>
    </w:p>
    <w:p w14:paraId="3C529C25" w14:textId="77777777" w:rsidR="009926BA" w:rsidRDefault="009926BA" w:rsidP="009926BA">
      <w:pPr>
        <w:pStyle w:val="ListParagraph"/>
        <w:numPr>
          <w:ilvl w:val="0"/>
          <w:numId w:val="2"/>
        </w:numPr>
      </w:pPr>
      <w:r>
        <w:t>När en lägenhet är avsedd för permanentboende och bostadsrätten till lägenheten innehas av en kommun eller landsting.</w:t>
      </w:r>
    </w:p>
    <w:p w14:paraId="40A5E96C" w14:textId="16B4620E" w:rsidR="009926BA" w:rsidRPr="009926BA" w:rsidRDefault="009926BA" w:rsidP="009926BA">
      <w:pPr>
        <w:ind w:left="360"/>
        <w:rPr>
          <w:i/>
          <w:iCs/>
        </w:rPr>
      </w:pPr>
      <w:r w:rsidRPr="009926BA">
        <w:rPr>
          <w:i/>
          <w:iCs/>
        </w:rPr>
        <w:t>I båda fallen ska bostadsrättshavaren underrätta föreningens styrelse om upplåtelsen.</w:t>
      </w:r>
      <w:r w:rsidR="000F7A1B">
        <w:rPr>
          <w:i/>
          <w:iCs/>
        </w:rPr>
        <w:br/>
      </w:r>
    </w:p>
    <w:p w14:paraId="5C5D0800" w14:textId="77777777" w:rsidR="009926BA" w:rsidRDefault="009926BA" w:rsidP="009926BA">
      <w:pPr>
        <w:pStyle w:val="Heading2"/>
      </w:pPr>
      <w:r>
        <w:t xml:space="preserve"> Samtycke eller inte – något om bostadsrättsföreningens beslut </w:t>
      </w:r>
    </w:p>
    <w:p w14:paraId="2E407890" w14:textId="0A8744B5" w:rsidR="009926BA" w:rsidRDefault="008B68B8" w:rsidP="00D17C6A">
      <w:r>
        <w:br/>
      </w:r>
      <w:r w:rsidR="009926BA">
        <w:t xml:space="preserve">Om föreningen inte ger sitt samtycke, kan bostadsrättshavaren vända sig till hyresnämnden för att få ansökan prövad där. Föreningarna kan välja att ge samtycke till andrahandsupplåtelse även i de fall hyresnämnden normalt inte ger tillstånd. </w:t>
      </w:r>
    </w:p>
    <w:p w14:paraId="48A80EC8" w14:textId="77777777" w:rsidR="00EF2A28" w:rsidRDefault="00EF2A28"/>
    <w:p w14:paraId="7FC949C2" w14:textId="5AF44524" w:rsidR="009926BA" w:rsidRDefault="009926BA" w:rsidP="009926BA">
      <w:pPr>
        <w:pStyle w:val="Heading2"/>
      </w:pPr>
      <w:r>
        <w:t xml:space="preserve">Godtagbara skäl </w:t>
      </w:r>
    </w:p>
    <w:p w14:paraId="150EB42B" w14:textId="39078113" w:rsidR="009926BA" w:rsidRDefault="008B68B8">
      <w:r>
        <w:br/>
      </w:r>
      <w:r w:rsidR="009926BA">
        <w:t xml:space="preserve">Reglerna om upplåtelse av bostadsrätt i andra hand ändrades 2014. Tidigare krävdes att bostadsrättshavaren hade beaktansvärda skäl för att hyresnämnden skulle ge tillstånd till upplåtelse i andra hand. Nu krävs bara att bostadsrättshavaren har skäl. I bostadsrättslagen anges inte vad som utgör skäl. Det kan noteras att en bostadsrättshavares skäl normalt väger lättare med tiden. Det betyder att ett skäl som åberopas för första gången kan finnas vara godtagbart, men om bostadsrättshavaren inte återvänt till lägenheten efter några års tid, är samma skäl oftast inte tillräckligt. I det följande ges exempel på sådana skäl. </w:t>
      </w:r>
    </w:p>
    <w:p w14:paraId="1BE5E42C" w14:textId="57236A34" w:rsidR="009926BA" w:rsidRDefault="009926BA" w:rsidP="009926BA">
      <w:pPr>
        <w:pStyle w:val="ListParagraph"/>
        <w:numPr>
          <w:ilvl w:val="0"/>
          <w:numId w:val="4"/>
        </w:numPr>
      </w:pPr>
      <w:r>
        <w:t xml:space="preserve">Ålder eller sjukdom </w:t>
      </w:r>
      <w:r w:rsidR="00D17C6A">
        <w:br/>
      </w:r>
      <w:r w:rsidR="00315ADA" w:rsidRPr="00315ADA">
        <w:rPr>
          <w:sz w:val="20"/>
          <w:szCs w:val="20"/>
        </w:rPr>
        <w:t>B</w:t>
      </w:r>
      <w:r w:rsidRPr="00315ADA">
        <w:rPr>
          <w:sz w:val="20"/>
          <w:szCs w:val="20"/>
        </w:rPr>
        <w:t xml:space="preserve">ostadsrättsrättshavaren läggs in på sjukhus eller annat boende på grund av ålder eller sjukdom. Föreningen ska inte ta ställning till om det är sannolikt att bostadsrättshavaren kommer att åter kunna använda lägenheten. </w:t>
      </w:r>
      <w:r w:rsidR="00D17C6A">
        <w:br/>
      </w:r>
    </w:p>
    <w:p w14:paraId="0C83D31E" w14:textId="47342E6F" w:rsidR="009926BA" w:rsidRDefault="009926BA" w:rsidP="009926BA">
      <w:pPr>
        <w:pStyle w:val="ListParagraph"/>
        <w:numPr>
          <w:ilvl w:val="0"/>
          <w:numId w:val="4"/>
        </w:numPr>
      </w:pPr>
      <w:r>
        <w:t xml:space="preserve">Tillfälligt arbete eller studier på annan ort </w:t>
      </w:r>
      <w:r w:rsidR="00D17C6A">
        <w:br/>
      </w:r>
    </w:p>
    <w:p w14:paraId="130AD2A9" w14:textId="37E630AA" w:rsidR="009926BA" w:rsidRDefault="009926BA" w:rsidP="009926BA">
      <w:pPr>
        <w:pStyle w:val="ListParagraph"/>
        <w:numPr>
          <w:ilvl w:val="0"/>
          <w:numId w:val="4"/>
        </w:numPr>
      </w:pPr>
      <w:r>
        <w:t xml:space="preserve">Längre utlandsvistelse </w:t>
      </w:r>
      <w:r w:rsidR="00D17C6A">
        <w:br/>
      </w:r>
      <w:r w:rsidRPr="00EF2A28">
        <w:rPr>
          <w:sz w:val="20"/>
          <w:szCs w:val="20"/>
        </w:rPr>
        <w:t xml:space="preserve">För att en utlandsvistelse ska anses som längre ska den i regel pågå i minst några månader. </w:t>
      </w:r>
      <w:r w:rsidR="00D17C6A" w:rsidRPr="00EF2A28">
        <w:rPr>
          <w:sz w:val="20"/>
          <w:szCs w:val="20"/>
        </w:rPr>
        <w:br/>
      </w:r>
    </w:p>
    <w:p w14:paraId="2C89F552" w14:textId="2ABB44FF" w:rsidR="009926BA" w:rsidRDefault="009926BA" w:rsidP="009926BA">
      <w:pPr>
        <w:pStyle w:val="ListParagraph"/>
        <w:numPr>
          <w:ilvl w:val="0"/>
          <w:numId w:val="4"/>
        </w:numPr>
      </w:pPr>
      <w:r>
        <w:t xml:space="preserve">Provsamboende </w:t>
      </w:r>
      <w:r w:rsidR="00D17C6A">
        <w:br/>
      </w:r>
      <w:r w:rsidR="00EF2A28" w:rsidRPr="00EF2A28">
        <w:rPr>
          <w:sz w:val="20"/>
          <w:szCs w:val="20"/>
        </w:rPr>
        <w:t>K</w:t>
      </w:r>
      <w:r w:rsidRPr="00EF2A28">
        <w:rPr>
          <w:sz w:val="20"/>
          <w:szCs w:val="20"/>
        </w:rPr>
        <w:t xml:space="preserve">an ske i den enes bostad eller i en gemensamt anskaffad bostad. </w:t>
      </w:r>
      <w:r w:rsidR="00D17C6A">
        <w:br/>
      </w:r>
    </w:p>
    <w:p w14:paraId="3B45EE5E" w14:textId="2D254177" w:rsidR="009926BA" w:rsidRDefault="009926BA" w:rsidP="009926BA">
      <w:pPr>
        <w:pStyle w:val="ListParagraph"/>
        <w:numPr>
          <w:ilvl w:val="0"/>
          <w:numId w:val="4"/>
        </w:numPr>
      </w:pPr>
      <w:r>
        <w:t xml:space="preserve">Uthyrning till närstående </w:t>
      </w:r>
      <w:r w:rsidR="00D17C6A">
        <w:br/>
      </w:r>
      <w:r w:rsidRPr="00EF2A28">
        <w:rPr>
          <w:sz w:val="20"/>
          <w:szCs w:val="20"/>
        </w:rPr>
        <w:t xml:space="preserve">Att bereda barn eller andra närstående bostad kan vara ett godtagbart skäl, även om skälet i detta fall närmast hänför sig till hyresgästen. </w:t>
      </w:r>
      <w:r w:rsidR="00D17C6A">
        <w:br/>
      </w:r>
    </w:p>
    <w:p w14:paraId="4AAB31AB" w14:textId="77A8D402" w:rsidR="009926BA" w:rsidRDefault="009926BA" w:rsidP="009926BA">
      <w:pPr>
        <w:pStyle w:val="ListParagraph"/>
        <w:numPr>
          <w:ilvl w:val="0"/>
          <w:numId w:val="4"/>
        </w:numPr>
      </w:pPr>
      <w:r>
        <w:t xml:space="preserve">Andra skäl </w:t>
      </w:r>
      <w:r w:rsidR="00D17C6A">
        <w:br/>
      </w:r>
      <w:r>
        <w:t xml:space="preserve">Utöver de situationer som nämns ovan kan det finnas ytterligare skäl för en bostadsrättshavare att upplåta sin lägenhet i andra hand. Exempel på godtagbara skäl är när bostadsrättshavaren anskaffat en bostadsrätt för att bosätta sig i efter pensionering, men behöver hyra ut den under en övergångstid. Ett annat skäl som kan anses godtagbart är kortvarig uthyrning i väntan på bättre marknadsförutsättningar för försäljning. </w:t>
      </w:r>
      <w:r w:rsidR="00D17C6A">
        <w:br/>
      </w:r>
    </w:p>
    <w:p w14:paraId="2BE9B196" w14:textId="77777777" w:rsidR="00D17C6A" w:rsidRDefault="00D17C6A">
      <w:pPr>
        <w:rPr>
          <w:rFonts w:asciiTheme="majorHAnsi" w:eastAsiaTheme="majorEastAsia" w:hAnsiTheme="majorHAnsi" w:cstheme="majorBidi"/>
          <w:color w:val="2F5496" w:themeColor="accent1" w:themeShade="BF"/>
          <w:sz w:val="26"/>
          <w:szCs w:val="26"/>
        </w:rPr>
      </w:pPr>
      <w:r>
        <w:br w:type="page"/>
      </w:r>
    </w:p>
    <w:p w14:paraId="43DFD8B3" w14:textId="22DA4DDC" w:rsidR="009926BA" w:rsidRDefault="009926BA" w:rsidP="009926BA">
      <w:pPr>
        <w:pStyle w:val="Heading2"/>
      </w:pPr>
      <w:r>
        <w:t xml:space="preserve">Skäl som inte funnits vara godtagbara </w:t>
      </w:r>
    </w:p>
    <w:p w14:paraId="77EBB8A4" w14:textId="440E6797" w:rsidR="00D17C6A" w:rsidRDefault="00D17C6A">
      <w:r>
        <w:br/>
      </w:r>
      <w:r w:rsidR="009926BA">
        <w:t xml:space="preserve">Även om rätten att upplåta sin bostadsrätt i andra hand är relativt generös godtas inte alla skäl. </w:t>
      </w:r>
    </w:p>
    <w:p w14:paraId="0186354E" w14:textId="3AF2F818" w:rsidR="00D17C6A" w:rsidRDefault="009926BA" w:rsidP="00D17C6A">
      <w:pPr>
        <w:pStyle w:val="ListParagraph"/>
        <w:numPr>
          <w:ilvl w:val="0"/>
          <w:numId w:val="6"/>
        </w:numPr>
      </w:pPr>
      <w:r>
        <w:t xml:space="preserve">Förvärv i spekulativt syfte med efterföljande andrahandsupplåtelse </w:t>
      </w:r>
      <w:r w:rsidR="00315ADA">
        <w:br/>
      </w:r>
      <w:r>
        <w:t xml:space="preserve">Den som har förvärvat en bostadsrätt i spekulativt syfte utan avsikt att själv bosätta sig i lägenheten anses inte ha ett godtagbart skäl. </w:t>
      </w:r>
      <w:r w:rsidR="00D17C6A">
        <w:br/>
      </w:r>
    </w:p>
    <w:p w14:paraId="64882DBE" w14:textId="16247668" w:rsidR="00D17C6A" w:rsidRDefault="009926BA" w:rsidP="00D17C6A">
      <w:pPr>
        <w:pStyle w:val="ListParagraph"/>
        <w:numPr>
          <w:ilvl w:val="0"/>
          <w:numId w:val="6"/>
        </w:numPr>
      </w:pPr>
      <w:r>
        <w:t xml:space="preserve">Enbart ekonomiska skäl </w:t>
      </w:r>
      <w:r w:rsidR="00315ADA">
        <w:br/>
      </w:r>
      <w:r>
        <w:t xml:space="preserve">Hyresnämnden har funnit att skälen för upplåtelse inte vägt tillräckligt tungt är vid upplåtelse enbart av ekonomiska skäl såsom upplåtelse under korta perioder i semestertider eller upplåtelse för att kunna betala av sin skuld för bostadsrätten. När bostadsrättshavaren under en längre period inte använt lägenheten är planer att t.ex. bo på en annan ort normalt inte heller relevanta som skäl för en upplåtelse i andra hand. </w:t>
      </w:r>
      <w:r w:rsidR="000F7A1B">
        <w:br/>
      </w:r>
    </w:p>
    <w:p w14:paraId="28BBA540" w14:textId="77777777" w:rsidR="00D17C6A" w:rsidRDefault="009926BA" w:rsidP="00D17C6A">
      <w:pPr>
        <w:pStyle w:val="Heading2"/>
      </w:pPr>
      <w:r>
        <w:t>Befogad anledning att vägra samtycke</w:t>
      </w:r>
    </w:p>
    <w:p w14:paraId="2C653276" w14:textId="3972614A" w:rsidR="00D17C6A" w:rsidRDefault="00315ADA">
      <w:r>
        <w:br/>
      </w:r>
      <w:r w:rsidR="009926BA">
        <w:t xml:space="preserve">Även om bostadsrättshavaren har ett godtagbart skäl, kan det finnas befogad anledning för föreningen att inte ge sitt samtycke till upplåtelsen. Ett exempel är om den föreslagna hyresgästen är en person som är känd för att vara störande. </w:t>
      </w:r>
      <w:r>
        <w:t>Hyresgästens</w:t>
      </w:r>
      <w:r w:rsidR="009926BA">
        <w:t xml:space="preserve"> betalningsförmåga </w:t>
      </w:r>
      <w:r>
        <w:t xml:space="preserve">saknar </w:t>
      </w:r>
      <w:r w:rsidR="009926BA">
        <w:t xml:space="preserve">betydelse, eftersom bostadsrättshavaren har kvar betalningsansvaret gentemot föreningen. </w:t>
      </w:r>
    </w:p>
    <w:p w14:paraId="58051284" w14:textId="4E8E735C" w:rsidR="00D17C6A" w:rsidRDefault="009926BA">
      <w:r>
        <w:t>Antalet andrahandsupplåtelser i en bostadsrättförening kan påverka föreningsarbetet och möjligheten att finna lämpliga personer till förtroendeuppdrag. Möjligheten att få personer att engagera sig i föreningsarbetet får särskild betydels</w:t>
      </w:r>
      <w:r w:rsidR="00315ADA">
        <w:t>e</w:t>
      </w:r>
      <w:r>
        <w:t xml:space="preserve">. Föreningens olägenheter kan väga tyngre i bedömningen av om det finns befogad anledning att motsätta sig en upplåtelse. </w:t>
      </w:r>
    </w:p>
    <w:p w14:paraId="1A80AAC2" w14:textId="313D6B83" w:rsidR="00D17C6A" w:rsidRDefault="009926BA">
      <w:r>
        <w:t>Ytterligare en befogad anledning kan vara om bostadsrättshavaren ansöker om att få hyra ut till många olika personer under prövningsperioden. Det kan då uppfattas som störande för övriga boende när många okända personer rör sig i fastigheten. I sådana fall kan det</w:t>
      </w:r>
      <w:r>
        <w:t xml:space="preserve"> </w:t>
      </w:r>
      <w:r>
        <w:t xml:space="preserve">också vara så att bostadsrättshavaren inte har godtagbara skäl för att upplåta sin lägenhet i andra hand därför att upplåtelsen närmast kan liknas vid hotellverksamhet av kommersiell natur. </w:t>
      </w:r>
      <w:r w:rsidR="00315ADA">
        <w:t>O</w:t>
      </w:r>
      <w:r>
        <w:t>m en uthyrning kan väntas påverka föreningens skatterättsliga status kan det utgöra en befogad anledning att vägra samtycke.</w:t>
      </w:r>
    </w:p>
    <w:p w14:paraId="4528BBB7" w14:textId="77777777" w:rsidR="00D17C6A" w:rsidRDefault="00D17C6A">
      <w:pPr>
        <w:rPr>
          <w:rFonts w:asciiTheme="majorHAnsi" w:eastAsiaTheme="majorEastAsia" w:hAnsiTheme="majorHAnsi" w:cstheme="majorBidi"/>
          <w:color w:val="2F5496" w:themeColor="accent1" w:themeShade="BF"/>
          <w:sz w:val="26"/>
          <w:szCs w:val="26"/>
        </w:rPr>
      </w:pPr>
      <w:r>
        <w:br w:type="page"/>
      </w:r>
    </w:p>
    <w:p w14:paraId="5EF0918F" w14:textId="77777777" w:rsidR="00D17C6A" w:rsidRDefault="009926BA" w:rsidP="00D17C6A">
      <w:pPr>
        <w:pStyle w:val="Heading2"/>
      </w:pPr>
      <w:r>
        <w:t xml:space="preserve">Tidsbegränsning och andra villkor </w:t>
      </w:r>
    </w:p>
    <w:p w14:paraId="6328CEC4" w14:textId="77777777" w:rsidR="00D17C6A" w:rsidRDefault="009926BA">
      <w:r>
        <w:t xml:space="preserve">Tillstånd till andrahandsupplåtelse ska alltid begränsas till att avse viss tid. Normalt bör tillstånd ges för högst ett år i taget. </w:t>
      </w:r>
    </w:p>
    <w:p w14:paraId="6F7B96CE" w14:textId="77777777" w:rsidR="00D17C6A" w:rsidRDefault="009926BA">
      <w:r>
        <w:t xml:space="preserve">Föreningen kan förena sitt samtycke med villkor, till exempel följande: </w:t>
      </w:r>
    </w:p>
    <w:p w14:paraId="2C5DC047" w14:textId="2276F6BB" w:rsidR="00D17C6A" w:rsidRDefault="009926BA" w:rsidP="00D17C6A">
      <w:pPr>
        <w:pStyle w:val="ListParagraph"/>
        <w:numPr>
          <w:ilvl w:val="0"/>
          <w:numId w:val="8"/>
        </w:numPr>
      </w:pPr>
      <w:r>
        <w:t xml:space="preserve">att bostadsrättshavaren har ett ombud i Sverige som är behörig att företräda bostadsrättshavaren i alla ärenden beträffande bostadsrätten om bostadsrättshavaren vistas utomlands, </w:t>
      </w:r>
    </w:p>
    <w:p w14:paraId="36EB7753" w14:textId="696A900C" w:rsidR="00D17C6A" w:rsidRDefault="009926BA" w:rsidP="00D17C6A">
      <w:pPr>
        <w:pStyle w:val="ListParagraph"/>
        <w:numPr>
          <w:ilvl w:val="0"/>
          <w:numId w:val="8"/>
        </w:numPr>
      </w:pPr>
      <w:r>
        <w:t xml:space="preserve">att bostadsrättshavaren ska hålla styrelsen fortlöpande underrättad om sin egen och sitt ombuds adress, </w:t>
      </w:r>
    </w:p>
    <w:p w14:paraId="7116AB69" w14:textId="5F437BD8" w:rsidR="00D17C6A" w:rsidRDefault="009926BA" w:rsidP="00D17C6A">
      <w:pPr>
        <w:pStyle w:val="ListParagraph"/>
        <w:numPr>
          <w:ilvl w:val="0"/>
          <w:numId w:val="8"/>
        </w:numPr>
      </w:pPr>
      <w:r>
        <w:t xml:space="preserve">att bostadsrättshavaren ska informera hyresgästen om bostadsrättsföreningens stadgar och gällande ordningsregler i föreningen. </w:t>
      </w:r>
      <w:r w:rsidR="00315ADA">
        <w:br/>
      </w:r>
    </w:p>
    <w:p w14:paraId="624E0143" w14:textId="65934ED0" w:rsidR="00315ADA" w:rsidRPr="00315ADA" w:rsidRDefault="009926BA" w:rsidP="00315ADA">
      <w:pPr>
        <w:pStyle w:val="Heading2"/>
      </w:pPr>
      <w:r>
        <w:t xml:space="preserve">Information om hyresgästen </w:t>
      </w:r>
      <w:r w:rsidR="00315ADA">
        <w:br/>
      </w:r>
    </w:p>
    <w:p w14:paraId="1701EB38" w14:textId="77777777" w:rsidR="00D17C6A" w:rsidRDefault="009926BA">
      <w:r>
        <w:t xml:space="preserve">Styrelsen kan vilja inhämta referenser avseende den tilltänkta hyresgästens skötsamhet. Bostadsrättshavarens ansökan om upplåtelse i andra hand bör därför innehålla ett medgivande från den föreslagna hyresgästen att sådana uppgifter får inhämtas. </w:t>
      </w:r>
    </w:p>
    <w:p w14:paraId="598CA0EA" w14:textId="6836BE5F" w:rsidR="00D17C6A" w:rsidRDefault="00D17C6A">
      <w:pPr>
        <w:rPr>
          <w:rFonts w:asciiTheme="majorHAnsi" w:eastAsiaTheme="majorEastAsia" w:hAnsiTheme="majorHAnsi" w:cstheme="majorBidi"/>
          <w:color w:val="2F5496" w:themeColor="accent1" w:themeShade="BF"/>
          <w:sz w:val="26"/>
          <w:szCs w:val="26"/>
        </w:rPr>
      </w:pPr>
    </w:p>
    <w:p w14:paraId="66BE1FBD" w14:textId="46B64547" w:rsidR="00D17C6A" w:rsidRDefault="009926BA" w:rsidP="00D17C6A">
      <w:pPr>
        <w:pStyle w:val="Heading2"/>
      </w:pPr>
      <w:r>
        <w:t xml:space="preserve">Föreningen kan ta ut en avgift för andrahandsupplåtelse </w:t>
      </w:r>
    </w:p>
    <w:p w14:paraId="421C0CC3" w14:textId="211C77A5" w:rsidR="00D17C6A" w:rsidRDefault="009926BA">
      <w:r>
        <w:t xml:space="preserve">Föreningen har rätt att ta ut en avgift från den bostadsrättshavare som upplåter sin lägenhet i andra hand. En förutsättning för att avgiften ska kunna tas ut är att det anges i stadgarna. </w:t>
      </w:r>
      <w:r w:rsidR="00EF2A28">
        <w:br/>
      </w:r>
      <w:r>
        <w:t>Avgiften får uppgå till högst tio procent av prisbasbeloppet årligen. Föreningen är fri att bestämma om avgiften ska tas ut årligen, månadsvis eller med annan periodicitet</w:t>
      </w:r>
      <w:r w:rsidR="00EF2A28">
        <w:t>.</w:t>
      </w:r>
      <w:r w:rsidR="00EF2A28">
        <w:br/>
      </w:r>
      <w:r>
        <w:t>Föreningen kommer att ta ut</w:t>
      </w:r>
      <w:r w:rsidR="00EF2A28">
        <w:t xml:space="preserve"> avgiften </w:t>
      </w:r>
      <w:r>
        <w:t xml:space="preserve">i samband med att samtycke medges. </w:t>
      </w:r>
    </w:p>
    <w:p w14:paraId="49787552" w14:textId="77777777" w:rsidR="00D17C6A" w:rsidRDefault="009926BA" w:rsidP="00D17C6A">
      <w:pPr>
        <w:pStyle w:val="Heading2"/>
      </w:pPr>
      <w:r>
        <w:t xml:space="preserve">Hyra och andra hyresvillkor </w:t>
      </w:r>
    </w:p>
    <w:p w14:paraId="78934E82" w14:textId="492271E7" w:rsidR="009926BA" w:rsidRDefault="009926BA">
      <w:r>
        <w:t>Föreningen har inget inflytande över de hyresvillkor som bostadsrättshavaren och hyresgästen kommer överens om. Vad gäller hyresgästens besittningsskydd hänvisas till hyresnämnden (www.hyresnamnden.se).</w:t>
      </w:r>
    </w:p>
    <w:p w14:paraId="1D11928C" w14:textId="462FC4EC" w:rsidR="009926BA" w:rsidRDefault="009926BA"/>
    <w:p w14:paraId="31A27730" w14:textId="40C34407" w:rsidR="009926BA" w:rsidRDefault="009926BA"/>
    <w:p w14:paraId="1E15A759" w14:textId="3FC1BCE6" w:rsidR="009926BA" w:rsidRDefault="009926BA"/>
    <w:p w14:paraId="0678ACE8" w14:textId="5E8E0297" w:rsidR="009926BA" w:rsidRDefault="009926BA"/>
    <w:p w14:paraId="0906518C" w14:textId="77777777" w:rsidR="009926BA" w:rsidRDefault="009926BA"/>
    <w:sectPr w:rsidR="009926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385A" w14:textId="77777777" w:rsidR="0050576F" w:rsidRDefault="0050576F" w:rsidP="009C7004">
      <w:pPr>
        <w:spacing w:after="0" w:line="240" w:lineRule="auto"/>
      </w:pPr>
      <w:r>
        <w:separator/>
      </w:r>
    </w:p>
  </w:endnote>
  <w:endnote w:type="continuationSeparator" w:id="0">
    <w:p w14:paraId="16C99BDC" w14:textId="77777777" w:rsidR="0050576F" w:rsidRDefault="0050576F" w:rsidP="009C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8AE8" w14:textId="77777777" w:rsidR="0050576F" w:rsidRDefault="0050576F" w:rsidP="009C7004">
      <w:pPr>
        <w:spacing w:after="0" w:line="240" w:lineRule="auto"/>
      </w:pPr>
      <w:r>
        <w:separator/>
      </w:r>
    </w:p>
  </w:footnote>
  <w:footnote w:type="continuationSeparator" w:id="0">
    <w:p w14:paraId="07811EEB" w14:textId="77777777" w:rsidR="0050576F" w:rsidRDefault="0050576F" w:rsidP="009C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6D06" w14:textId="308A8817" w:rsidR="009C7004" w:rsidRPr="009C7004" w:rsidRDefault="009C7004" w:rsidP="009C7004">
    <w:pPr>
      <w:pStyle w:val="Heading2"/>
    </w:pPr>
    <w:bookmarkStart w:id="0" w:name="bmLogga1"/>
    <w:r w:rsidRPr="00D00A6F">
      <w:rPr>
        <w:lang w:eastAsia="sv-SE"/>
      </w:rPr>
      <w:drawing>
        <wp:inline distT="0" distB="0" distL="0" distR="0" wp14:anchorId="1C0B24AE" wp14:editId="728AEF37">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0"/>
    <w:r>
      <w:t xml:space="preserve">       </w:t>
    </w:r>
    <w:r w:rsidRPr="00592B6D">
      <w:t>HSB Brf</w:t>
    </w:r>
    <w:r>
      <w:t xml:space="preserve"> Broparken</w:t>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6E09"/>
    <w:multiLevelType w:val="hybridMultilevel"/>
    <w:tmpl w:val="B35682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C3D62F5"/>
    <w:multiLevelType w:val="hybridMultilevel"/>
    <w:tmpl w:val="828E1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AE2EBF"/>
    <w:multiLevelType w:val="hybridMultilevel"/>
    <w:tmpl w:val="132E4F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1BE63AF"/>
    <w:multiLevelType w:val="hybridMultilevel"/>
    <w:tmpl w:val="F56A83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3A439CB"/>
    <w:multiLevelType w:val="hybridMultilevel"/>
    <w:tmpl w:val="413031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8E37128"/>
    <w:multiLevelType w:val="hybridMultilevel"/>
    <w:tmpl w:val="B0B0CD8C"/>
    <w:lvl w:ilvl="0" w:tplc="BA0E64BA">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B431B4"/>
    <w:multiLevelType w:val="hybridMultilevel"/>
    <w:tmpl w:val="09F8D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881035"/>
    <w:multiLevelType w:val="hybridMultilevel"/>
    <w:tmpl w:val="F926D9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BA"/>
    <w:rsid w:val="000F7A1B"/>
    <w:rsid w:val="00315ADA"/>
    <w:rsid w:val="0050576F"/>
    <w:rsid w:val="00574BF3"/>
    <w:rsid w:val="0078496A"/>
    <w:rsid w:val="007F059F"/>
    <w:rsid w:val="008B68B8"/>
    <w:rsid w:val="009926BA"/>
    <w:rsid w:val="009C7004"/>
    <w:rsid w:val="00D17C6A"/>
    <w:rsid w:val="00EF2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A63D"/>
  <w15:chartTrackingRefBased/>
  <w15:docId w15:val="{642743EA-A982-41D4-80DD-8ECA67BF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6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992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B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926BA"/>
    <w:rPr>
      <w:color w:val="0563C1" w:themeColor="hyperlink"/>
      <w:u w:val="single"/>
    </w:rPr>
  </w:style>
  <w:style w:type="character" w:styleId="UnresolvedMention">
    <w:name w:val="Unresolved Mention"/>
    <w:basedOn w:val="DefaultParagraphFont"/>
    <w:uiPriority w:val="99"/>
    <w:semiHidden/>
    <w:unhideWhenUsed/>
    <w:rsid w:val="009926BA"/>
    <w:rPr>
      <w:color w:val="605E5C"/>
      <w:shd w:val="clear" w:color="auto" w:fill="E1DFDD"/>
    </w:rPr>
  </w:style>
  <w:style w:type="paragraph" w:styleId="ListParagraph">
    <w:name w:val="List Paragraph"/>
    <w:basedOn w:val="Normal"/>
    <w:uiPriority w:val="34"/>
    <w:qFormat/>
    <w:rsid w:val="009926BA"/>
    <w:pPr>
      <w:ind w:left="720"/>
      <w:contextualSpacing/>
    </w:pPr>
  </w:style>
  <w:style w:type="character" w:customStyle="1" w:styleId="Heading2Char">
    <w:name w:val="Heading 2 Char"/>
    <w:basedOn w:val="DefaultParagraphFont"/>
    <w:link w:val="Heading2"/>
    <w:uiPriority w:val="1"/>
    <w:rsid w:val="009926B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C7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004"/>
  </w:style>
  <w:style w:type="paragraph" w:styleId="Footer">
    <w:name w:val="footer"/>
    <w:basedOn w:val="Normal"/>
    <w:link w:val="FooterChar"/>
    <w:uiPriority w:val="99"/>
    <w:unhideWhenUsed/>
    <w:rsid w:val="009C7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69127">
      <w:bodyDiv w:val="1"/>
      <w:marLeft w:val="0"/>
      <w:marRight w:val="0"/>
      <w:marTop w:val="0"/>
      <w:marBottom w:val="0"/>
      <w:divBdr>
        <w:top w:val="none" w:sz="0" w:space="0" w:color="auto"/>
        <w:left w:val="none" w:sz="0" w:space="0" w:color="auto"/>
        <w:bottom w:val="none" w:sz="0" w:space="0" w:color="auto"/>
        <w:right w:val="none" w:sz="0" w:space="0" w:color="auto"/>
      </w:divBdr>
    </w:div>
    <w:div w:id="12212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1311</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Wanderoy</dc:creator>
  <cp:keywords/>
  <dc:description/>
  <cp:lastModifiedBy>Ulf Wanderoy</cp:lastModifiedBy>
  <cp:revision>1</cp:revision>
  <dcterms:created xsi:type="dcterms:W3CDTF">2022-02-16T12:18:00Z</dcterms:created>
  <dcterms:modified xsi:type="dcterms:W3CDTF">2022-02-16T13:57:00Z</dcterms:modified>
</cp:coreProperties>
</file>